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2998470</wp:posOffset>
                </wp:positionH>
                <wp:positionV relativeFrom="paragraph">
                  <wp:posOffset>-212090</wp:posOffset>
                </wp:positionV>
                <wp:extent cx="579120" cy="657225"/>
                <wp:effectExtent l="0" t="0" r="0" b="9525"/>
                <wp:wrapNone/>
                <wp:docPr id="1" name="Рисунок 2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blem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>
                          <a:lum bright="-12000" contrast="18000"/>
                        </a:blip>
                        <a:srcRect l="0" t="0" r="-4828" b="0"/>
                        <a:stretch/>
                      </pic:blipFill>
                      <pic:spPr bwMode="auto">
                        <a:xfrm>
                          <a:off x="0" y="0"/>
                          <a:ext cx="579120" cy="6572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36.10pt;mso-position-horizontal:absolute;mso-position-vertical-relative:text;margin-top:-16.70pt;mso-position-vertical:absolute;width:45.60pt;height:51.75pt;mso-wrap-distance-left:9.00pt;mso-wrap-distance-top:0.00pt;mso-wrap-distance-right:9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bookmarkStart w:id="0" w:name="_GoBack"/>
      <w:bookmarkEnd w:id="0"/>
      <w:r>
        <w:rPr>
          <w:highlight w:val="none"/>
        </w:rPr>
      </w:r>
      <w:r>
        <w:rPr>
          <w:highlight w:val="none"/>
        </w:rPr>
      </w:r>
    </w:p>
    <w:p/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8"/>
        <w:ind w:firstLine="0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К О М И С 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 И Я</w:t>
      </w:r>
      <w:r>
        <w:rPr>
          <w:sz w:val="24"/>
          <w:szCs w:val="24"/>
          <w:lang w:val="ru-RU"/>
        </w:rPr>
        <w:t xml:space="preserve">   </w:t>
      </w:r>
      <w:r>
        <w:rPr>
          <w:sz w:val="24"/>
          <w:szCs w:val="24"/>
        </w:rPr>
        <w:t xml:space="preserve">П О</w:t>
      </w:r>
      <w:r>
        <w:rPr>
          <w:sz w:val="24"/>
          <w:szCs w:val="24"/>
          <w:lang w:val="ru-RU"/>
        </w:rPr>
        <w:t xml:space="preserve">   Э К О Л О Г И И</w:t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rPr/>
        <w:tblPrEx/>
        <w:tc>
          <w:tcPr>
            <w:tcW w:w="1045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4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3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296-54-33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48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E-mail: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HYPERLINK "mailto:k_eko@zsnso.ru"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49"/>
                <w:sz w:val="24"/>
                <w:szCs w:val="24"/>
                <w:lang w:val="en-US"/>
              </w:rPr>
              <w:t xml:space="preserve">k_eko@zsnso.ru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, e-mail: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HYPERLINK "mailto:ecology_nso@mail.ru"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49"/>
                <w:sz w:val="24"/>
                <w:szCs w:val="24"/>
                <w:lang w:val="en-US"/>
              </w:rPr>
              <w:t xml:space="preserve">ecology_nso@mail.ru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48"/>
              <w:jc w:val="center"/>
            </w:pPr>
            <w:r>
              <w:rPr>
                <w:sz w:val="24"/>
                <w:szCs w:val="24"/>
                <w:lang w:val="en-US"/>
              </w:rPr>
              <w:t xml:space="preserve">http</w:t>
            </w:r>
            <w:r>
              <w:rPr>
                <w:sz w:val="24"/>
                <w:szCs w:val="24"/>
              </w:rPr>
              <w:t xml:space="preserve">://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zsnso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</w:p>
        </w:tc>
      </w:tr>
    </w:tbl>
    <w:p>
      <w:pPr>
        <w:pStyle w:val="843"/>
      </w:pPr>
      <w:r>
        <w:rPr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59055</wp:posOffset>
                </wp:positionV>
                <wp:extent cx="6515100" cy="1270"/>
                <wp:effectExtent l="17145" t="11430" r="11430" b="15875"/>
                <wp:wrapNone/>
                <wp:docPr id="2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" o:spid="_x0000_s1" style="position:absolute;left:0;text-align:left;z-index:251660288;mso-wrap-distance-left:9.00pt;mso-wrap-distance-top:0.00pt;mso-wrap-distance-right:9.00pt;mso-wrap-distance-bottom:0.00pt;flip:y;visibility:visible;" from="1.3pt,4.6pt" to="514.4pt,4.7pt" filled="f" strokecolor="#000000" strokeweight="1.50pt"/>
            </w:pict>
          </mc:Fallback>
        </mc:AlternateContent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3261"/>
        <w:gridCol w:w="4110"/>
      </w:tblGrid>
      <w:tr>
        <w:trPr/>
        <w:tblPrEx/>
        <w:tc>
          <w:tcPr>
            <w:tcW w:w="2943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37"/>
              <w:tabs>
                <w:tab w:val="left" w:pos="708" w:leader="none"/>
                <w:tab w:val="center" w:pos="4677" w:leader="none"/>
              </w:tabs>
              <w:rPr>
                <w:i/>
                <w:szCs w:val="28"/>
              </w:rPr>
            </w:pPr>
            <w:r>
              <w:rPr>
                <w:szCs w:val="28"/>
              </w:rPr>
              <w:t xml:space="preserve">02 </w:t>
            </w:r>
            <w:r>
              <w:rPr>
                <w:szCs w:val="28"/>
              </w:rPr>
              <w:t xml:space="preserve">декабря</w:t>
            </w:r>
            <w:r>
              <w:rPr>
                <w:szCs w:val="28"/>
              </w:rPr>
              <w:t xml:space="preserve"> 20</w:t>
            </w:r>
            <w:r>
              <w:rPr>
                <w:szCs w:val="28"/>
              </w:rPr>
              <w:t xml:space="preserve">25</w:t>
            </w:r>
            <w:r>
              <w:rPr>
                <w:szCs w:val="28"/>
              </w:rPr>
              <w:t xml:space="preserve"> года</w:t>
            </w: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</w:p>
        </w:tc>
        <w:tc>
          <w:tcPr>
            <w:tcW w:w="32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37"/>
              <w:tabs>
                <w:tab w:val="left" w:pos="708" w:leader="none"/>
                <w:tab w:val="center" w:pos="4677" w:leader="none"/>
                <w:tab w:val="right" w:pos="9355" w:leader="none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</w:p>
        </w:tc>
        <w:tc>
          <w:tcPr>
            <w:tcW w:w="4110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37"/>
              <w:tabs>
                <w:tab w:val="left" w:pos="708" w:leader="none"/>
                <w:tab w:val="center" w:pos="4677" w:leader="none"/>
                <w:tab w:val="right" w:pos="9355" w:leader="none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14</w:t>
            </w:r>
            <w:r>
              <w:rPr>
                <w:szCs w:val="28"/>
              </w:rPr>
              <w:t xml:space="preserve">-00, малый </w:t>
            </w:r>
            <w:r>
              <w:rPr>
                <w:szCs w:val="28"/>
              </w:rPr>
              <w:t xml:space="preserve">зал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rPr/>
        <w:tblPrEx/>
        <w:tc>
          <w:tcPr>
            <w:tcW w:w="2943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37"/>
              <w:tabs>
                <w:tab w:val="left" w:pos="708" w:leader="none"/>
                <w:tab w:val="center" w:pos="4677" w:leader="none"/>
                <w:tab w:val="right" w:pos="9355" w:leader="none"/>
              </w:tabs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32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37"/>
              <w:tabs>
                <w:tab w:val="left" w:pos="708" w:leader="none"/>
                <w:tab w:val="center" w:pos="4677" w:leader="none"/>
                <w:tab w:val="right" w:pos="9355" w:leader="none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  <w:r>
              <w:rPr>
                <w:i/>
                <w:szCs w:val="28"/>
              </w:rPr>
            </w:r>
          </w:p>
        </w:tc>
        <w:tc>
          <w:tcPr>
            <w:tcW w:w="4110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37"/>
              <w:tabs>
                <w:tab w:val="left" w:pos="708" w:leader="none"/>
                <w:tab w:val="center" w:pos="4677" w:leader="none"/>
                <w:tab w:val="right" w:pos="9355" w:leader="none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</w:tbl>
    <w:p>
      <w:pPr>
        <w:pStyle w:val="848"/>
      </w:pPr>
    </w:p>
    <w:p>
      <w:pPr>
        <w:pStyle w:val="848"/>
        <w:jc w:val="center"/>
      </w:pPr>
    </w:p>
    <w:p>
      <w:pPr>
        <w:pStyle w:val="837"/>
        <w:keepNext/>
        <w:jc w:val="center"/>
        <w:outlineLvl w:val="1"/>
        <w:rPr>
          <w:b/>
          <w:bCs/>
          <w:szCs w:val="28"/>
        </w:rPr>
      </w:pPr>
      <w:r>
        <w:rPr>
          <w:b/>
          <w:bCs/>
          <w:szCs w:val="28"/>
        </w:rPr>
        <w:t xml:space="preserve">ПРОТОКОЛ № </w:t>
      </w:r>
      <w:r>
        <w:rPr>
          <w:b/>
          <w:bCs/>
          <w:szCs w:val="28"/>
        </w:rPr>
        <w:t xml:space="preserve">2</w:t>
      </w:r>
      <w:r>
        <w:rPr>
          <w:b/>
          <w:bCs/>
          <w:szCs w:val="28"/>
        </w:rPr>
      </w:r>
    </w:p>
    <w:p>
      <w:pPr>
        <w:pStyle w:val="837"/>
        <w:jc w:val="center"/>
        <w:rPr>
          <w:b/>
          <w:szCs w:val="28"/>
        </w:rPr>
      </w:pPr>
      <w:r>
        <w:rPr>
          <w:b/>
          <w:szCs w:val="28"/>
        </w:rPr>
        <w:t xml:space="preserve">заседания комисси</w:t>
      </w:r>
      <w:r>
        <w:rPr>
          <w:b/>
          <w:szCs w:val="28"/>
        </w:rPr>
        <w:t xml:space="preserve">и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837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37"/>
        <w:ind w:firstLine="567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Присутствовали:</w:t>
      </w:r>
      <w:r>
        <w:rPr>
          <w:rFonts w:eastAsia="Calibri"/>
          <w:szCs w:val="28"/>
          <w:lang w:eastAsia="en-US"/>
        </w:rPr>
      </w:r>
      <w:r>
        <w:rPr>
          <w:rFonts w:eastAsia="Calibri"/>
          <w:szCs w:val="28"/>
          <w:lang w:eastAsia="en-US"/>
        </w:rPr>
      </w:r>
    </w:p>
    <w:p>
      <w:pPr>
        <w:pStyle w:val="837"/>
        <w:ind w:firstLine="567"/>
        <w:jc w:val="both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</w:r>
      <w:r>
        <w:rPr>
          <w:rFonts w:eastAsia="Calibri"/>
          <w:b/>
          <w:szCs w:val="28"/>
          <w:lang w:eastAsia="en-US"/>
        </w:rPr>
      </w:r>
      <w:r>
        <w:rPr>
          <w:rFonts w:eastAsia="Calibri"/>
          <w:b/>
          <w:szCs w:val="28"/>
          <w:lang w:eastAsia="en-US"/>
        </w:rPr>
      </w:r>
    </w:p>
    <w:p>
      <w:pPr>
        <w:spacing w:line="283" w:lineRule="atLeast"/>
        <w:ind w:left="0" w:right="0" w:firstLine="567"/>
        <w:contextualSpacing/>
        <w:rPr>
          <w:rFonts w:ascii="Times New Roman" w:hAnsi="Times New Roman" w:cs="Times New Roman"/>
          <w:highlight w:val="white"/>
        </w:rPr>
      </w:pPr>
      <w:r>
        <w:rPr>
          <w:szCs w:val="28"/>
        </w:rPr>
        <w:t xml:space="preserve">Члены комиссии:                                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Воротников Данила Александрович;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white"/>
        </w:rPr>
      </w:r>
    </w:p>
    <w:p>
      <w:pPr>
        <w:spacing w:line="283" w:lineRule="atLeast"/>
        <w:ind w:left="4961" w:right="0" w:firstLine="0"/>
        <w:contextualSpacing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Новоселов Виталий Валерьевич;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spacing w:line="283" w:lineRule="atLeast"/>
        <w:ind w:left="4961" w:right="0" w:firstLine="0"/>
        <w:contextualSpacing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Сафаров Марат Мукомович;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spacing w:line="283" w:lineRule="atLeast"/>
        <w:ind w:left="4961" w:right="0" w:firstLine="0"/>
        <w:contextualSpacing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Субботин Денис Викторович;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spacing w:line="283" w:lineRule="atLeast"/>
        <w:ind w:left="4961" w:right="0" w:firstLine="0"/>
        <w:contextualSpacing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Терешкова Анна Васильевна;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spacing w:line="283" w:lineRule="atLeast"/>
        <w:ind w:left="4961" w:right="0" w:firstLine="0"/>
        <w:contextualSpacing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Украинцева Дарья Александровна;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spacing w:line="283" w:lineRule="atLeast"/>
        <w:ind w:left="4961" w:right="0" w:firstLine="0"/>
        <w:contextualSpacing/>
        <w:rPr>
          <w:rFonts w:ascii="Times New Roman" w:hAnsi="Times New Roman" w:cs="Times New Roman"/>
          <w:bCs/>
          <w:i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Умербаев Игорь Равильевич;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Cs/>
          <w:i/>
          <w:highlight w:val="white"/>
        </w:rPr>
      </w:r>
      <w:r>
        <w:rPr>
          <w:rFonts w:ascii="Times New Roman" w:hAnsi="Times New Roman" w:cs="Times New Roman"/>
          <w:bCs/>
          <w:i/>
          <w:highlight w:val="white"/>
        </w:rPr>
      </w:r>
    </w:p>
    <w:p>
      <w:pPr>
        <w:spacing w:line="283" w:lineRule="atLeast"/>
        <w:ind w:left="4961" w:right="0" w:firstLine="0"/>
        <w:contextualSpacing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Фролов Ярослав Александрович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837"/>
        <w:ind w:firstLine="4962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37"/>
        <w:ind w:firstLine="567"/>
        <w:rPr>
          <w:szCs w:val="28"/>
        </w:rPr>
      </w:pPr>
      <w:r>
        <w:rPr>
          <w:szCs w:val="28"/>
        </w:rPr>
      </w:r>
      <w:r>
        <w:rPr>
          <w:szCs w:val="28"/>
        </w:rPr>
        <w:t xml:space="preserve"> </w:t>
      </w:r>
      <w:r>
        <w:rPr>
          <w:szCs w:val="28"/>
        </w:rPr>
      </w:r>
      <w:r>
        <w:rPr>
          <w:szCs w:val="28"/>
        </w:rPr>
      </w:r>
    </w:p>
    <w:p>
      <w:pPr>
        <w:pStyle w:val="837"/>
        <w:tabs>
          <w:tab w:val="left" w:pos="5103" w:leader="none"/>
        </w:tabs>
        <w:ind w:firstLine="567"/>
        <w:jc w:val="both"/>
        <w:rPr>
          <w:highlight w:val="none"/>
        </w:rPr>
      </w:pPr>
      <w:r>
        <w:rPr>
          <w:szCs w:val="28"/>
        </w:rPr>
        <w:t xml:space="preserve">Референт</w:t>
      </w:r>
      <w:r>
        <w:rPr>
          <w:szCs w:val="28"/>
        </w:rPr>
        <w:t xml:space="preserve"> коми</w:t>
      </w:r>
      <w:r>
        <w:rPr>
          <w:szCs w:val="28"/>
        </w:rPr>
        <w:t xml:space="preserve">ссии:                           </w:t>
      </w:r>
      <w:r>
        <w:rPr>
          <w:szCs w:val="28"/>
        </w:rPr>
        <w:t xml:space="preserve"> </w:t>
      </w:r>
      <w:r>
        <w:rPr>
          <w:szCs w:val="28"/>
        </w:rPr>
        <w:t xml:space="preserve">Макарцева Ольга Сергеевна</w:t>
      </w:r>
      <w:r>
        <w:rPr>
          <w:szCs w:val="28"/>
        </w:rPr>
      </w:r>
      <w:r>
        <w:rPr>
          <w:highlight w:val="none"/>
        </w:rPr>
      </w:r>
    </w:p>
    <w:p>
      <w:pPr>
        <w:tabs>
          <w:tab w:val="left" w:pos="5103" w:leader="none"/>
        </w:tabs>
        <w:ind w:firstLine="567"/>
        <w:jc w:val="both"/>
      </w:pPr>
    </w:p>
    <w:p>
      <w:pPr>
        <w:tabs>
          <w:tab w:val="left" w:pos="5103" w:leader="none"/>
        </w:tabs>
        <w:ind w:firstLine="567"/>
        <w:jc w:val="both"/>
        <w:rPr>
          <w:highlight w:val="none"/>
        </w:rPr>
      </w:pPr>
      <w:r>
        <w:rPr>
          <w:szCs w:val="28"/>
          <w:highlight w:val="none"/>
        </w:rPr>
        <w:t xml:space="preserve">Приглашенные:</w:t>
      </w:r>
      <w:r>
        <w:rPr>
          <w:highlight w:val="none"/>
        </w:rPr>
      </w:r>
    </w:p>
    <w:p>
      <w:pPr>
        <w:tabs>
          <w:tab w:val="left" w:pos="5103" w:leader="none"/>
        </w:tabs>
        <w:ind w:firstLine="567"/>
        <w:jc w:val="both"/>
      </w:pPr>
    </w:p>
    <w:p>
      <w:pPr>
        <w:tabs>
          <w:tab w:val="left" w:pos="5103" w:leader="none"/>
        </w:tabs>
        <w:ind w:firstLine="567"/>
        <w:jc w:val="both"/>
        <w:rPr>
          <w:rFonts w:eastAsia="Calibri"/>
          <w:sz w:val="28"/>
          <w:szCs w:val="28"/>
          <w:highlight w:val="none"/>
          <w:lang w:eastAsia="en-US"/>
        </w:rPr>
      </w:pP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Абрамова Анастасия Сергеевна – представитель инициативной группы жителей микрорайона «Весенний»;</w:t>
      </w:r>
      <w:r>
        <w:rPr>
          <w:rFonts w:eastAsia="Calibri"/>
          <w:bCs/>
          <w:sz w:val="28"/>
          <w:szCs w:val="28"/>
          <w:highlight w:val="none"/>
          <w:lang w:eastAsia="en-US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Аврицевич Константин Васильевич – </w:t>
      </w:r>
      <w:r>
        <w:rPr>
          <w:highlight w:val="none"/>
        </w:rPr>
        <w:t xml:space="preserve">директор Новосибирского литейного производства – филиала акционерного общества «Желдорреммаш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»;</w:t>
      </w:r>
      <w:r>
        <w:rPr>
          <w:rFonts w:eastAsia="Calibri"/>
          <w:bCs/>
          <w:sz w:val="28"/>
          <w:szCs w:val="28"/>
          <w:highlight w:val="none"/>
          <w:lang w:eastAsia="en-US"/>
        </w:rPr>
      </w:r>
    </w:p>
    <w:p>
      <w:pPr>
        <w:tabs>
          <w:tab w:val="left" w:pos="5103" w:leader="none"/>
        </w:tabs>
        <w:ind w:firstLine="567"/>
        <w:jc w:val="both"/>
        <w:rPr>
          <w:rFonts w:eastAsia="Calibri"/>
          <w:sz w:val="28"/>
          <w:szCs w:val="28"/>
          <w:highlight w:val="none"/>
          <w:lang w:eastAsia="en-US"/>
        </w:rPr>
      </w:pPr>
      <w:r>
        <w:t xml:space="preserve">Грязнова Екатерина Андреевна – </w:t>
      </w:r>
      <w:r>
        <w:rPr>
          <w:rFonts w:eastAsia="Calibri"/>
          <w:bCs/>
          <w:lang w:eastAsia="en-US"/>
        </w:rPr>
        <w:t xml:space="preserve">исполняющий обязанности новосибирского межр</w:t>
      </w:r>
      <w:r>
        <w:rPr>
          <w:rFonts w:eastAsia="Calibri"/>
          <w:bCs/>
          <w:sz w:val="28"/>
          <w:szCs w:val="28"/>
          <w:lang w:eastAsia="en-US"/>
        </w:rPr>
        <w:t xml:space="preserve">айонного природоохранного прокурора;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Зубова Людмила Владимировна – </w:t>
      </w:r>
      <w:r>
        <w:rPr>
          <w:sz w:val="28"/>
          <w:szCs w:val="28"/>
          <w:highlight w:val="none"/>
        </w:rPr>
        <w:t xml:space="preserve">начальник Западно-Сибирского Территориального отдела Управления Роспотребнадзора по железнодорожному транспорту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Круковский Василий Валентинович – аудитор Контрольно-счетной палаты Новосибирской области;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Любавский Андрей Валерьевич – з</w:t>
      </w:r>
      <w:r>
        <w:rPr>
          <w:sz w:val="28"/>
          <w:szCs w:val="28"/>
        </w:rPr>
        <w:t xml:space="preserve">аместитель председателя комитета Законодательного Собрания Новосибирской области по</w:t>
      </w:r>
      <w:r>
        <w:rPr>
          <w:rFonts w:ascii="Roboto" w:hAnsi="Roboto" w:eastAsia="Roboto" w:cs="Roboto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бюджетной, финансово-экономической политике и собственност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и</w:t>
      </w:r>
      <w:r>
        <w:rPr>
          <w:sz w:val="28"/>
          <w:szCs w:val="28"/>
          <w:highlight w:val="none"/>
        </w:rPr>
        <w:t xml:space="preserve">;</w:t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Рапута Владимир Федотович – главный научный сотрудник ИВМиМГ СО РАН;</w:t>
      </w:r>
      <w:r>
        <w:rPr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eastAsia="Calibri"/>
          <w:b w:val="0"/>
          <w:bCs w:val="0"/>
          <w:sz w:val="28"/>
          <w:szCs w:val="28"/>
          <w:lang w:val="ru-RU"/>
        </w:rPr>
        <w:t xml:space="preserve">Севастьянов Алексей Валерьевич – заместитель министра – начальник управления контрольно-надзорной деятельности министерства природных ресурсов и экологии Новосибирской области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ru-RU"/>
        </w:rPr>
        <w:t xml:space="preserve">Стукалин Евгений Владимирович – начальник управления использования природных ресурсов </w:t>
      </w:r>
      <w:r>
        <w:rPr>
          <w:rFonts w:eastAsia="Calibri"/>
          <w:b w:val="0"/>
          <w:bCs w:val="0"/>
          <w:sz w:val="28"/>
          <w:szCs w:val="28"/>
          <w:lang w:val="ru-RU"/>
        </w:rPr>
        <w:t xml:space="preserve">министерства природных ресурсов и экологии Новосибирской области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Хапко Ирина Борисовна – п</w:t>
      </w:r>
      <w:r>
        <w:rPr>
          <w:rFonts w:eastAsia="Calibri"/>
          <w:lang w:val="ru-RU" w:eastAsia="en-US"/>
        </w:rPr>
        <w:t xml:space="preserve">редседатель комиссии по экологии и охране окружающей среды Общественной палаты Новосибирской области;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t xml:space="preserve">Хлобыстов Евгений Владимирович – начальник юридического отд</w:t>
      </w:r>
      <w:r>
        <w:rPr>
          <w:color w:val="000000" w:themeColor="text1"/>
        </w:rPr>
        <w:t xml:space="preserve">ела</w:t>
      </w:r>
      <w:r>
        <w:rPr>
          <w:rFonts w:ascii="Georgia" w:hAnsi="Georgia" w:eastAsia="Georgia" w:cs="Georgia"/>
          <w:color w:val="000000" w:themeColor="text1"/>
          <w:sz w:val="27"/>
        </w:rPr>
        <w:t xml:space="preserve"> ф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еде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рального государственного бюджетного учреждения «Западно-Сибирское управление по гидрометеорологии и мониторингу окружающей среды»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tabs>
          <w:tab w:val="left" w:pos="5103" w:leader="none"/>
        </w:tabs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Чернавина Ольга Владимировна – </w:t>
      </w:r>
      <w:r>
        <w:rPr>
          <w:rFonts w:eastAsia="Calibri"/>
          <w:lang w:val="ru-RU" w:eastAsia="en-US"/>
        </w:rPr>
        <w:t xml:space="preserve">президент НРСФОО «НО ФРС»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Шарикалов Андрей Геннадьевич – председатель комитета охраны окружающей среды мэрии города Новосибирска.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37"/>
        <w:ind w:firstLine="709"/>
        <w:jc w:val="both"/>
        <w:rPr>
          <w:bCs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3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0" t="0" r="0" b="0"/>
                <wp:wrapNone/>
                <wp:docPr id="3" name="_x0000_s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480173" cy="1268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" o:spid="_x0000_s2" style="position:absolute;left:0;text-align:left;z-index:251658243;mso-wrap-distance-left:9.00pt;mso-wrap-distance-top:0.00pt;mso-wrap-distance-right:9.00pt;mso-wrap-distance-bottom:0.00pt;flip:y;visibility:visible;" from="1.3pt,1.3pt" to="511.6pt,1.4pt" filled="f" strokecolor="#000000" strokeweight="1.50pt"/>
            </w:pict>
          </mc:Fallback>
        </mc:AlternateContent>
      </w:r>
      <w:r>
        <w:rPr>
          <w:bCs/>
        </w:rPr>
      </w:r>
      <w:r>
        <w:rPr>
          <w:bCs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14"/>
      </w:tblGrid>
      <w:tr>
        <w:trPr/>
        <w:tblPrEx/>
        <w:tc>
          <w:tcPr>
            <w:tcW w:w="10314" w:type="dxa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 повестке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заседания комиссии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Доклад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Фролов Я.А.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  <w:t xml:space="preserve">ВЫСТУПИЛИ:</w:t>
            </w:r>
            <w:r>
              <w:rPr>
                <w:rFonts w:ascii="Times New Roman" w:hAnsi="Times New Roman"/>
                <w:bCs/>
                <w:sz w:val="28"/>
                <w:szCs w:val="28"/>
                <w:highlight w:val="none"/>
              </w:rPr>
              <w:t xml:space="preserve"> Терешкова А.В.</w:t>
            </w:r>
            <w:r>
              <w:rPr>
                <w:rFonts w:ascii="Times New Roman" w:hAnsi="Times New Roman"/>
                <w:bCs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left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1134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Повестку заседания комиссии с дополнениями Терешковой А.В. утвердить.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8; «против» – 0; «воздержался» – 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blPrEx/>
        <w:tc>
          <w:tcPr>
            <w:tcW w:w="10314" w:type="dxa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10314" w:type="dxa"/>
            <w:vMerge w:val="restart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О регламенте заседания комиссии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Доклад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Фролов Я.А.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left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1134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Регламент заседания комиссии утвердить.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8; «против» – 0; «воздержался» – 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blPrEx/>
        <w:tc>
          <w:tcPr>
            <w:tcW w:w="10314" w:type="dxa"/>
            <w:vMerge w:val="restart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10314" w:type="dxa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 xml:space="preserve">О</w:t>
            </w:r>
            <w:r>
              <w:rPr>
                <w:b/>
                <w:bCs/>
                <w:sz w:val="28"/>
                <w:szCs w:val="28"/>
                <w:highlight w:val="none"/>
              </w:rPr>
              <w:t xml:space="preserve">б обращении жителей микрорайона «Весенний» о системном загрязнении атмосферного воздуха на территории микрорайона.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Доклад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Воротников Д.А.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highlight w:val="none"/>
              </w:rPr>
              <w:t xml:space="preserve">Содоклад: Севастьянов А.В.</w:t>
            </w:r>
            <w:r>
              <w:rPr>
                <w:rFonts w:ascii="Times New Roman" w:hAnsi="Times New Roman"/>
                <w:bCs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Выступили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Украинцева Д.А., Фролов Я.А., Новоселов В.В., Любавский А.В., Субботин Д.В., Аврицевич К.В., Терешкова А.В., Хапко И.Б.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bCs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pStyle w:val="837"/>
              <w:ind w:left="0" w:right="0" w:firstLine="709"/>
              <w:jc w:val="both"/>
              <w:rPr>
                <w:highlight w:val="none"/>
              </w:rPr>
            </w:pPr>
            <w:r>
              <w:rPr>
                <w:bCs w:val="0"/>
                <w:highlight w:val="none"/>
              </w:rPr>
              <w:t xml:space="preserve">1</w:t>
            </w:r>
            <w:r>
              <w:rPr>
                <w:bCs w:val="0"/>
                <w:highlight w:val="none"/>
              </w:rPr>
              <w:t xml:space="preserve">. Информацию принять к сведению.</w:t>
            </w:r>
            <w:r>
              <w:rPr>
                <w:highlight w:val="none"/>
              </w:rPr>
            </w:r>
          </w:p>
          <w:p>
            <w:pPr>
              <w:ind w:left="0" w:right="0" w:firstLine="709"/>
              <w:jc w:val="both"/>
              <w:rPr>
                <w:b w:val="0"/>
                <w:bCs w:val="0"/>
                <w:highlight w:val="none"/>
              </w:rPr>
            </w:pPr>
            <w:r>
              <w:rPr>
                <w:bCs w:val="0"/>
                <w:highlight w:val="none"/>
              </w:rPr>
              <w:t xml:space="preserve">2. Вынести на рассмотрение комиссии Законодательного Собрания Новосибирской области по экологии в феврале 2026 года вопрос о реализации комитетом охраны окружающей среды мэрии города Новосибирска решений комиссии Законодательного Собрания Новосибирской области п</w:t>
            </w:r>
            <w:r>
              <w:rPr>
                <w:b w:val="0"/>
                <w:bCs w:val="0"/>
              </w:rPr>
              <w:t xml:space="preserve">о развитию государственной наблюдательной сети за загрязнением атмосферного воздуха 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  <w:highlight w:val="none"/>
              </w:rPr>
            </w:r>
            <w:r>
              <w:rPr>
                <w:b w:val="0"/>
                <w:bCs w:val="0"/>
              </w:rPr>
              <w:t xml:space="preserve">в городе Новосибирске.</w:t>
            </w:r>
            <w:r>
              <w:rPr>
                <w:b w:val="0"/>
                <w:bCs w:val="0"/>
                <w:highlight w:val="none"/>
              </w:rPr>
            </w:r>
            <w:r>
              <w:rPr>
                <w:b w:val="0"/>
                <w:bCs w:val="0"/>
                <w:highlight w:val="none"/>
              </w:rPr>
            </w:r>
            <w:r>
              <w:rPr>
                <w:b w:val="0"/>
                <w:bCs w:val="0"/>
                <w:highlight w:val="none"/>
              </w:rPr>
            </w:r>
          </w:p>
          <w:p>
            <w:pPr>
              <w:ind w:left="0" w:right="0" w:firstLine="709"/>
              <w:jc w:val="both"/>
              <w:rPr>
                <w:b w:val="0"/>
                <w:bCs w:val="0"/>
                <w:highlight w:val="none"/>
              </w:rPr>
            </w:pPr>
            <w:r>
              <w:rPr>
                <w:b w:val="0"/>
                <w:bCs w:val="0"/>
                <w:highlight w:val="none"/>
              </w:rPr>
              <w:t xml:space="preserve">3. </w:t>
            </w:r>
            <w:r>
              <w:rPr>
                <w:bCs w:val="0"/>
                <w:highlight w:val="none"/>
              </w:rPr>
              <w:t xml:space="preserve">Комиссии Законодательного Собрания Новосибирской области создать рабочую группу по изучению ситуации загрязнения атмосферного воздуха на территории микрорайона Весенний, с включением в ее состав представителей министерства природных ресурсов и экологии Новосибирской области, уполномоченных контрольно-надзорных органов, Общественной палаты Новосибирской области и инициативной группы жителей микрорайона.</w:t>
            </w:r>
            <w:r>
              <w:rPr>
                <w:b w:val="0"/>
                <w:bCs w:val="0"/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8; «против» – 0; «воздержался» – 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  <w:u w:val="single"/>
              </w:rPr>
              <w:t xml:space="preserve">Протокольная запись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: Отметить, что наказы избирателей «об установке стационарного поста наблюдения за загрязнением атмосферного воздуха в районе дома по ул. Первомайской, 224 (детский сад № 28)» и «об организации стационарного пункта мониторинга воздуха в микрорайоне «Весенний» передан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депутатом Законодательного Собрания Новосибирской области Любавским А.В.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в комиссию Законодательного Собрания Новосибирской области по наказам избирателей для включения в программу реализации наказов избирателей в установленном порядке.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rPr/>
        <w:tblPrEx/>
        <w:tc>
          <w:tcPr>
            <w:tcW w:w="10314" w:type="dxa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3543"/>
        </w:trPr>
        <w:tblPrEx/>
        <w:tc>
          <w:tcPr>
            <w:tcW w:w="10314" w:type="dxa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eastAsia="Calibri"/>
                <w:b/>
                <w:bCs/>
                <w:sz w:val="28"/>
                <w:szCs w:val="28"/>
                <w:highlight w:val="white"/>
                <w:lang w:val="ru-RU" w:eastAsia="en-US"/>
              </w:rPr>
              <w:t xml:space="preserve">О</w:t>
            </w:r>
            <w:r>
              <w:rPr>
                <w:rFonts w:eastAsia="Calibri"/>
                <w:b/>
                <w:bCs/>
                <w:sz w:val="28"/>
                <w:szCs w:val="28"/>
                <w:highlight w:val="white"/>
                <w:lang w:val="ru-RU" w:eastAsia="en-US"/>
              </w:rPr>
              <w:t xml:space="preserve"> </w:t>
            </w:r>
            <w:r>
              <w:rPr>
                <w:rFonts w:eastAsia="Calibri"/>
                <w:b/>
                <w:bCs/>
                <w:sz w:val="28"/>
                <w:szCs w:val="28"/>
                <w:highlight w:val="white"/>
                <w:lang w:val="ru-RU" w:eastAsia="en-US"/>
              </w:rPr>
              <w:t xml:space="preserve">контрольном мероприятии по соблюдению и исполнению </w:t>
            </w:r>
            <w:r>
              <w:rPr>
                <w:rFonts w:eastAsia="Calibri"/>
                <w:b/>
                <w:bCs/>
                <w:sz w:val="28"/>
                <w:szCs w:val="28"/>
                <w:highlight w:val="white"/>
                <w:lang w:val="ru-RU" w:eastAsia="en-US"/>
              </w:rPr>
              <w:t xml:space="preserve">Закона Новосибирской области </w:t>
            </w:r>
            <w:r>
              <w:rPr>
                <w:b/>
                <w:bCs/>
                <w:sz w:val="28"/>
                <w:szCs w:val="28"/>
                <w:highlight w:val="none"/>
              </w:rPr>
              <w:t xml:space="preserve">от 1 июля 2015 года № 582-ОЗ «О разграничении полномочий органов государственной власти Новосибирской области в области обращения с отходами производства и потребления</w:t>
            </w:r>
            <w:r>
              <w:rPr>
                <w:b/>
                <w:bCs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Доклад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Стукалин Е.В.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Выступили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Умербаев И.Р., Новоселов В.В.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left="0" w:right="0" w:firstLine="708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ind w:left="0" w:right="0" w:firstLine="708"/>
              <w:jc w:val="both"/>
            </w:pPr>
            <w:r>
              <w:t xml:space="preserve">Рекомендовать Законодательному Собранию Новосибирской области признать соблюдение и исполнение Закона Новосибирской области </w:t>
            </w:r>
            <w:r>
              <w:rPr>
                <w:b w:val="0"/>
                <w:bCs w:val="0"/>
                <w:sz w:val="28"/>
                <w:szCs w:val="28"/>
                <w:highlight w:val="none"/>
              </w:rPr>
              <w:t xml:space="preserve">от 1 июля 2015 года № 582-ОЗ «О разграничении полномочий органов государственной власти Новосибирской области в области обращения с отходами производства и потребления</w:t>
            </w:r>
            <w:r>
              <w:rPr>
                <w:b w:val="0"/>
                <w:bCs w:val="0"/>
                <w:sz w:val="28"/>
                <w:szCs w:val="28"/>
                <w:highlight w:val="none"/>
              </w:rPr>
              <w:t xml:space="preserve">»</w:t>
            </w:r>
            <w:r>
              <w:t xml:space="preserve">.</w:t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«против» – 0; «воздержался» – 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blPrEx/>
        <w:tc>
          <w:tcPr>
            <w:tcW w:w="10314" w:type="dxa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10314" w:type="dxa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none"/>
              </w:rPr>
              <w:t xml:space="preserve">5</w:t>
            </w:r>
            <w:r>
              <w:rPr>
                <w:rFonts w:ascii="Times New Roman" w:hAnsi="Times New Roman"/>
                <w:b/>
                <w:sz w:val="28"/>
                <w:szCs w:val="28"/>
                <w:highlight w:val="none"/>
              </w:rPr>
              <w:t xml:space="preserve">. </w:t>
            </w:r>
            <w:r>
              <w:rPr>
                <w:b/>
                <w:bCs w:val="0"/>
                <w:highlight w:val="none"/>
              </w:rPr>
              <w:t xml:space="preserve">О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  <w:t xml:space="preserve">рабочей группе при министерстве природных ресурсов и экологии Новосибирской области по реализации проекта водно-зеленого каркаса Новосибирской агломерации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Доклад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: Терешкова А.В.</w:t>
            </w:r>
            <w:r>
              <w:rPr>
                <w:rFonts w:ascii="Times New Roman" w:hAnsi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  <w:highlight w:val="none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  <w:highlight w:val="none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ind w:firstLine="709"/>
              <w:jc w:val="both"/>
              <w:rPr>
                <w:highlight w:val="none"/>
              </w:rPr>
            </w:pPr>
            <w:r>
              <w:rPr>
                <w:bCs w:val="0"/>
                <w:highlight w:val="none"/>
              </w:rPr>
            </w:r>
            <w:r>
              <w:t xml:space="preserve">1. Информацию принять к сведению.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firstLine="709"/>
              <w:jc w:val="both"/>
            </w:pPr>
            <w:r>
              <w:rPr>
                <w:highlight w:val="none"/>
              </w:rPr>
              <w:t xml:space="preserve">2. Рекомендовать ми</w:t>
            </w:r>
            <w:r>
              <w:rPr>
                <w:highlight w:val="none"/>
              </w:rPr>
              <w:t xml:space="preserve">нистерству природных ресурсов и экологии Новосибирской области предоставить в комиссию Законодательного Собрания Новосибирской области по экологии информацию о создании рабочей группы по реализации проекта водно-зеленного каркаса Новосибирской агломерации.</w:t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Голосовали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«За»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8; «против» – 0; «воздержался» – 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blPrEx/>
        <w:tc>
          <w:tcPr>
            <w:tcW w:w="10314" w:type="dxa"/>
            <w:vMerge w:val="restart"/>
            <w:shd w:val="clear" w:color="ffffff" w:fill="ffffff"/>
            <w:noWrap w:val="false"/>
            <w:textDirection w:val="lrTb"/>
          </w:tcPr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  <w:r>
              <w:rPr>
                <w:rFonts w:ascii="Times New Roman" w:hAnsi="Times New Roman"/>
                <w:b/>
                <w:sz w:val="28"/>
                <w:szCs w:val="28"/>
              </w:rPr>
            </w: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</w:tr>
      <w:tr>
        <w:trPr/>
        <w:tblPrEx/>
        <w:tc>
          <w:tcPr>
            <w:tcW w:w="10314" w:type="dxa"/>
            <w:vMerge w:val="restart"/>
            <w:shd w:val="clear" w:color="ffffff" w:fill="ffffff"/>
            <w:noWrap w:val="false"/>
            <w:textDirection w:val="lrTb"/>
          </w:tcPr>
          <w:p>
            <w:pPr>
              <w:pStyle w:val="837"/>
              <w:ind w:left="0" w:right="0" w:firstLine="567"/>
              <w:jc w:val="both"/>
              <w:rPr>
                <w:b/>
                <w:bCs/>
                <w:highlight w:val="none"/>
              </w:rPr>
            </w:pPr>
            <w:r>
              <w:rPr>
                <w:b/>
                <w:bCs/>
                <w:szCs w:val="28"/>
              </w:rPr>
              <w:t xml:space="preserve">6. Об участии в Сибирской строительной неделе в</w:t>
            </w:r>
            <w:r>
              <w:rPr>
                <w:b/>
                <w:bCs w:val="0"/>
                <w:highlight w:val="none"/>
              </w:rPr>
              <w:t xml:space="preserve"> 202</w:t>
            </w:r>
            <w:r>
              <w:rPr>
                <w:b/>
                <w:bCs w:val="0"/>
                <w:highlight w:val="none"/>
              </w:rPr>
              <w:t xml:space="preserve">6 году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shd w:val="clear" w:color="auto" w:fill="ffffff"/>
              <w:tabs>
                <w:tab w:val="left" w:pos="1276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Доклад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: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Терешкова А.В.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shd w:val="clear" w:color="auto" w:fill="ffffff"/>
              <w:tabs>
                <w:tab w:val="left" w:pos="709" w:leader="none"/>
              </w:tabs>
              <w:spacing w:after="0" w:line="240" w:lineRule="auto"/>
              <w:ind w:left="0" w:right="0"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  <w:highlight w:val="none"/>
              </w:rPr>
              <w:t xml:space="preserve">Решили</w:t>
            </w:r>
            <w:r>
              <w:rPr>
                <w:rFonts w:ascii="Times New Roman" w:hAnsi="Times New Roman"/>
                <w:b/>
                <w:sz w:val="28"/>
                <w:szCs w:val="28"/>
                <w:highlight w:val="none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ind w:left="0" w:right="0" w:firstLine="709"/>
              <w:jc w:val="both"/>
              <w:rPr>
                <w:highlight w:val="yellow"/>
              </w:rPr>
            </w:pPr>
            <w:r>
              <w:rPr>
                <w:highlight w:val="none"/>
              </w:rPr>
              <w:t xml:space="preserve">Информацию принять к сведению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9923"/>
      </w:tblGrid>
      <w:tr>
        <w:trPr/>
        <w:tblPrEx/>
        <w:tc>
          <w:tcPr>
            <w:tcW w:w="10314" w:type="dxa"/>
            <w:vMerge w:val="restart"/>
            <w:shd w:val="clear" w:color="ffffff" w:fill="ffffff"/>
            <w:noWrap w:val="false"/>
            <w:textDirection w:val="lrTb"/>
          </w:tcPr>
          <w:p/>
        </w:tc>
      </w:tr>
    </w:tbl>
    <w:p>
      <w:pPr>
        <w:shd w:val="clear" w:color="auto" w:fill="ffffff"/>
        <w:tabs>
          <w:tab w:val="left" w:pos="1276" w:leader="none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837"/>
        <w:jc w:val="both"/>
        <w:rPr>
          <w:color w:val="000000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  <w:r>
        <w:rPr>
          <w:color w:val="000000"/>
        </w:rPr>
      </w:r>
    </w:p>
    <w:p>
      <w:pPr>
        <w:pStyle w:val="837"/>
        <w:tabs>
          <w:tab w:val="right" w:pos="9923" w:leader="none"/>
        </w:tabs>
        <w:jc w:val="both"/>
        <w:rPr>
          <w:bCs/>
          <w:szCs w:val="28"/>
        </w:rPr>
      </w:pPr>
      <w:r>
        <w:rPr>
          <w:bCs/>
          <w:szCs w:val="28"/>
        </w:rPr>
        <w:t xml:space="preserve">Заместитель председателя</w:t>
      </w:r>
      <w:r>
        <w:rPr>
          <w:bCs/>
          <w:szCs w:val="28"/>
        </w:rPr>
        <w:tab/>
        <w:t xml:space="preserve">Я.А. Фролов</w:t>
      </w:r>
      <w:r>
        <w:rPr>
          <w:bCs/>
          <w:szCs w:val="28"/>
        </w:rPr>
      </w:r>
      <w:r>
        <w:rPr>
          <w:bCs/>
          <w:szCs w:val="28"/>
        </w:rPr>
      </w:r>
    </w:p>
    <w:sectPr>
      <w:footnotePr/>
      <w:endnotePr/>
      <w:type w:val="nextPage"/>
      <w:pgSz w:w="11906" w:h="16838" w:orient="portrait"/>
      <w:pgMar w:top="709" w:right="849" w:bottom="1135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</w:font>
  <w:font w:name="Roboto">
    <w:panose1 w:val="02000000000000000000"/>
  </w:font>
  <w:font w:name="Calibri">
    <w:panose1 w:val="020F05020202040302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72" w:hanging="180"/>
      </w:p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27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27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72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Heading 1 Char"/>
    <w:basedOn w:val="839"/>
    <w:link w:val="838"/>
    <w:uiPriority w:val="9"/>
    <w:rPr>
      <w:rFonts w:ascii="Arial" w:hAnsi="Arial" w:eastAsia="Arial" w:cs="Arial"/>
      <w:sz w:val="40"/>
      <w:szCs w:val="40"/>
    </w:rPr>
  </w:style>
  <w:style w:type="paragraph" w:styleId="663">
    <w:name w:val="Heading 2"/>
    <w:basedOn w:val="837"/>
    <w:next w:val="837"/>
    <w:link w:val="664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4">
    <w:name w:val="Heading 2 Char"/>
    <w:basedOn w:val="839"/>
    <w:link w:val="663"/>
    <w:uiPriority w:val="9"/>
    <w:rPr>
      <w:rFonts w:ascii="Arial" w:hAnsi="Arial" w:eastAsia="Arial" w:cs="Arial"/>
      <w:sz w:val="34"/>
    </w:rPr>
  </w:style>
  <w:style w:type="paragraph" w:styleId="665">
    <w:name w:val="Heading 3"/>
    <w:basedOn w:val="837"/>
    <w:next w:val="837"/>
    <w:link w:val="666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6">
    <w:name w:val="Heading 3 Char"/>
    <w:basedOn w:val="839"/>
    <w:link w:val="665"/>
    <w:uiPriority w:val="9"/>
    <w:rPr>
      <w:rFonts w:ascii="Arial" w:hAnsi="Arial" w:eastAsia="Arial" w:cs="Arial"/>
      <w:sz w:val="30"/>
      <w:szCs w:val="30"/>
    </w:rPr>
  </w:style>
  <w:style w:type="paragraph" w:styleId="667">
    <w:name w:val="Heading 4"/>
    <w:basedOn w:val="837"/>
    <w:next w:val="837"/>
    <w:link w:val="668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8">
    <w:name w:val="Heading 4 Char"/>
    <w:basedOn w:val="839"/>
    <w:link w:val="667"/>
    <w:uiPriority w:val="9"/>
    <w:rPr>
      <w:rFonts w:ascii="Arial" w:hAnsi="Arial" w:eastAsia="Arial" w:cs="Arial"/>
      <w:b/>
      <w:bCs/>
      <w:sz w:val="26"/>
      <w:szCs w:val="26"/>
    </w:rPr>
  </w:style>
  <w:style w:type="paragraph" w:styleId="669">
    <w:name w:val="Heading 5"/>
    <w:basedOn w:val="837"/>
    <w:next w:val="837"/>
    <w:link w:val="670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0">
    <w:name w:val="Heading 5 Char"/>
    <w:basedOn w:val="839"/>
    <w:link w:val="669"/>
    <w:uiPriority w:val="9"/>
    <w:rPr>
      <w:rFonts w:ascii="Arial" w:hAnsi="Arial" w:eastAsia="Arial" w:cs="Arial"/>
      <w:b/>
      <w:bCs/>
      <w:sz w:val="24"/>
      <w:szCs w:val="24"/>
    </w:rPr>
  </w:style>
  <w:style w:type="paragraph" w:styleId="671">
    <w:name w:val="Heading 6"/>
    <w:basedOn w:val="837"/>
    <w:next w:val="837"/>
    <w:link w:val="672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2">
    <w:name w:val="Heading 6 Char"/>
    <w:basedOn w:val="839"/>
    <w:link w:val="671"/>
    <w:uiPriority w:val="9"/>
    <w:rPr>
      <w:rFonts w:ascii="Arial" w:hAnsi="Arial" w:eastAsia="Arial" w:cs="Arial"/>
      <w:b/>
      <w:bCs/>
      <w:sz w:val="22"/>
      <w:szCs w:val="22"/>
    </w:rPr>
  </w:style>
  <w:style w:type="paragraph" w:styleId="673">
    <w:name w:val="Heading 7"/>
    <w:basedOn w:val="837"/>
    <w:next w:val="837"/>
    <w:link w:val="674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4">
    <w:name w:val="Heading 7 Char"/>
    <w:basedOn w:val="839"/>
    <w:link w:val="67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5">
    <w:name w:val="Heading 8"/>
    <w:basedOn w:val="837"/>
    <w:next w:val="837"/>
    <w:link w:val="676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6">
    <w:name w:val="Heading 8 Char"/>
    <w:basedOn w:val="839"/>
    <w:link w:val="675"/>
    <w:uiPriority w:val="9"/>
    <w:rPr>
      <w:rFonts w:ascii="Arial" w:hAnsi="Arial" w:eastAsia="Arial" w:cs="Arial"/>
      <w:i/>
      <w:iCs/>
      <w:sz w:val="22"/>
      <w:szCs w:val="22"/>
    </w:rPr>
  </w:style>
  <w:style w:type="paragraph" w:styleId="677">
    <w:name w:val="Heading 9"/>
    <w:basedOn w:val="837"/>
    <w:next w:val="837"/>
    <w:link w:val="678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8">
    <w:name w:val="Heading 9 Char"/>
    <w:basedOn w:val="839"/>
    <w:link w:val="677"/>
    <w:uiPriority w:val="9"/>
    <w:rPr>
      <w:rFonts w:ascii="Arial" w:hAnsi="Arial" w:eastAsia="Arial" w:cs="Arial"/>
      <w:i/>
      <w:iCs/>
      <w:sz w:val="21"/>
      <w:szCs w:val="21"/>
    </w:rPr>
  </w:style>
  <w:style w:type="paragraph" w:styleId="679">
    <w:name w:val="No Spacing"/>
    <w:uiPriority w:val="1"/>
    <w:qFormat/>
    <w:pPr>
      <w:spacing w:before="0" w:after="0" w:line="240" w:lineRule="auto"/>
    </w:pPr>
  </w:style>
  <w:style w:type="paragraph" w:styleId="680">
    <w:name w:val="Title"/>
    <w:basedOn w:val="837"/>
    <w:next w:val="837"/>
    <w:link w:val="681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81">
    <w:name w:val="Title Char"/>
    <w:basedOn w:val="839"/>
    <w:link w:val="680"/>
    <w:uiPriority w:val="10"/>
    <w:rPr>
      <w:sz w:val="48"/>
      <w:szCs w:val="48"/>
    </w:rPr>
  </w:style>
  <w:style w:type="paragraph" w:styleId="682">
    <w:name w:val="Subtitle"/>
    <w:basedOn w:val="837"/>
    <w:next w:val="837"/>
    <w:link w:val="683"/>
    <w:uiPriority w:val="11"/>
    <w:qFormat/>
    <w:pPr>
      <w:spacing w:before="200" w:after="200"/>
    </w:pPr>
    <w:rPr>
      <w:sz w:val="24"/>
      <w:szCs w:val="24"/>
    </w:rPr>
  </w:style>
  <w:style w:type="character" w:styleId="683">
    <w:name w:val="Subtitle Char"/>
    <w:basedOn w:val="839"/>
    <w:link w:val="682"/>
    <w:uiPriority w:val="11"/>
    <w:rPr>
      <w:sz w:val="24"/>
      <w:szCs w:val="24"/>
    </w:rPr>
  </w:style>
  <w:style w:type="paragraph" w:styleId="684">
    <w:name w:val="Quote"/>
    <w:basedOn w:val="837"/>
    <w:next w:val="837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837"/>
    <w:next w:val="837"/>
    <w:link w:val="687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paragraph" w:styleId="688">
    <w:name w:val="Header"/>
    <w:basedOn w:val="837"/>
    <w:link w:val="689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9">
    <w:name w:val="Header Char"/>
    <w:basedOn w:val="839"/>
    <w:link w:val="688"/>
    <w:uiPriority w:val="99"/>
  </w:style>
  <w:style w:type="character" w:styleId="690">
    <w:name w:val="Footer Char"/>
    <w:basedOn w:val="839"/>
    <w:link w:val="843"/>
    <w:uiPriority w:val="99"/>
  </w:style>
  <w:style w:type="paragraph" w:styleId="691">
    <w:name w:val="Caption"/>
    <w:basedOn w:val="837"/>
    <w:next w:val="83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2">
    <w:name w:val="Caption Char"/>
    <w:basedOn w:val="691"/>
    <w:link w:val="843"/>
    <w:uiPriority w:val="99"/>
  </w:style>
  <w:style w:type="table" w:styleId="693">
    <w:name w:val="Table Grid"/>
    <w:basedOn w:val="84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Table Grid Light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Plain Table 1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2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8">
    <w:name w:val="Plain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Plain Table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0">
    <w:name w:val="Grid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6">
    <w:name w:val="Grid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7">
    <w:name w:val="Grid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8">
    <w:name w:val="Grid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9">
    <w:name w:val="Grid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0">
    <w:name w:val="Grid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1">
    <w:name w:val="Grid Table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2">
    <w:name w:val="Grid Table 4 - Accent 1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3">
    <w:name w:val="Grid Table 4 - Accent 2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4">
    <w:name w:val="Grid Table 4 - Accent 3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5">
    <w:name w:val="Grid Table 4 - Accent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6">
    <w:name w:val="Grid Table 4 - Accent 5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7">
    <w:name w:val="Grid Table 4 - Accent 6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8">
    <w:name w:val="Grid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9">
    <w:name w:val="Grid Table 5 Dark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30">
    <w:name w:val="Grid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31">
    <w:name w:val="Grid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32">
    <w:name w:val="Grid Table 5 Dark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33">
    <w:name w:val="Grid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34">
    <w:name w:val="Grid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35">
    <w:name w:val="Grid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6">
    <w:name w:val="Grid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7">
    <w:name w:val="Grid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8">
    <w:name w:val="Grid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9">
    <w:name w:val="Grid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0">
    <w:name w:val="Grid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3">
    <w:name w:val="Grid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4">
    <w:name w:val="Grid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5">
    <w:name w:val="Grid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6">
    <w:name w:val="Grid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7">
    <w:name w:val="Grid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8">
    <w:name w:val="Grid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9">
    <w:name w:val="List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7">
    <w:name w:val="List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8">
    <w:name w:val="List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9">
    <w:name w:val="List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0">
    <w:name w:val="List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1">
    <w:name w:val="List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2">
    <w:name w:val="List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3">
    <w:name w:val="List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5">
    <w:name w:val="List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6">
    <w:name w:val="List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7">
    <w:name w:val="List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8">
    <w:name w:val="List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9">
    <w:name w:val="List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0">
    <w:name w:val="List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1">
    <w:name w:val="List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2">
    <w:name w:val="List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3">
    <w:name w:val="List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4">
    <w:name w:val="List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5">
    <w:name w:val="List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6">
    <w:name w:val="List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7">
    <w:name w:val="List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8">
    <w:name w:val="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 &amp; 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Bordered &amp; 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7">
    <w:name w:val="Bordered &amp; 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8">
    <w:name w:val="Bordered &amp; 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9">
    <w:name w:val="Bordered &amp; 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0">
    <w:name w:val="Bordered &amp; 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1">
    <w:name w:val="Bordered &amp; 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2">
    <w:name w:val="Bordered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3">
    <w:name w:val="Bordered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4">
    <w:name w:val="Bordered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5">
    <w:name w:val="Bordered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6">
    <w:name w:val="Bordered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7">
    <w:name w:val="Bordered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8">
    <w:name w:val="Bordered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9">
    <w:name w:val="Hyperlink"/>
    <w:uiPriority w:val="99"/>
    <w:unhideWhenUsed/>
    <w:rPr>
      <w:color w:val="0000ff" w:themeColor="hyperlink"/>
      <w:u w:val="single"/>
    </w:rPr>
  </w:style>
  <w:style w:type="paragraph" w:styleId="820">
    <w:name w:val="footnote text"/>
    <w:basedOn w:val="837"/>
    <w:link w:val="821"/>
    <w:uiPriority w:val="99"/>
    <w:semiHidden/>
    <w:unhideWhenUsed/>
    <w:pPr>
      <w:spacing w:after="40" w:line="240" w:lineRule="auto"/>
    </w:pPr>
    <w:rPr>
      <w:sz w:val="18"/>
    </w:rPr>
  </w:style>
  <w:style w:type="character" w:styleId="821">
    <w:name w:val="Footnote Text Char"/>
    <w:link w:val="820"/>
    <w:uiPriority w:val="99"/>
    <w:rPr>
      <w:sz w:val="18"/>
    </w:rPr>
  </w:style>
  <w:style w:type="character" w:styleId="822">
    <w:name w:val="footnote reference"/>
    <w:basedOn w:val="839"/>
    <w:uiPriority w:val="99"/>
    <w:unhideWhenUsed/>
    <w:rPr>
      <w:vertAlign w:val="superscript"/>
    </w:rPr>
  </w:style>
  <w:style w:type="paragraph" w:styleId="823">
    <w:name w:val="endnote text"/>
    <w:basedOn w:val="837"/>
    <w:link w:val="824"/>
    <w:uiPriority w:val="99"/>
    <w:semiHidden/>
    <w:unhideWhenUsed/>
    <w:pPr>
      <w:spacing w:after="0" w:line="240" w:lineRule="auto"/>
    </w:pPr>
    <w:rPr>
      <w:sz w:val="20"/>
    </w:rPr>
  </w:style>
  <w:style w:type="character" w:styleId="824">
    <w:name w:val="Endnote Text Char"/>
    <w:link w:val="823"/>
    <w:uiPriority w:val="99"/>
    <w:rPr>
      <w:sz w:val="20"/>
    </w:rPr>
  </w:style>
  <w:style w:type="character" w:styleId="825">
    <w:name w:val="endnote reference"/>
    <w:basedOn w:val="839"/>
    <w:uiPriority w:val="99"/>
    <w:semiHidden/>
    <w:unhideWhenUsed/>
    <w:rPr>
      <w:vertAlign w:val="superscript"/>
    </w:rPr>
  </w:style>
  <w:style w:type="paragraph" w:styleId="826">
    <w:name w:val="toc 1"/>
    <w:basedOn w:val="837"/>
    <w:next w:val="837"/>
    <w:uiPriority w:val="39"/>
    <w:unhideWhenUsed/>
    <w:pPr>
      <w:spacing w:after="57"/>
      <w:ind w:left="0" w:right="0" w:firstLine="0"/>
    </w:pPr>
  </w:style>
  <w:style w:type="paragraph" w:styleId="827">
    <w:name w:val="toc 2"/>
    <w:basedOn w:val="837"/>
    <w:next w:val="837"/>
    <w:uiPriority w:val="39"/>
    <w:unhideWhenUsed/>
    <w:pPr>
      <w:spacing w:after="57"/>
      <w:ind w:left="283" w:right="0" w:firstLine="0"/>
    </w:pPr>
  </w:style>
  <w:style w:type="paragraph" w:styleId="828">
    <w:name w:val="toc 3"/>
    <w:basedOn w:val="837"/>
    <w:next w:val="837"/>
    <w:uiPriority w:val="39"/>
    <w:unhideWhenUsed/>
    <w:pPr>
      <w:spacing w:after="57"/>
      <w:ind w:left="567" w:right="0" w:firstLine="0"/>
    </w:pPr>
  </w:style>
  <w:style w:type="paragraph" w:styleId="829">
    <w:name w:val="toc 4"/>
    <w:basedOn w:val="837"/>
    <w:next w:val="837"/>
    <w:uiPriority w:val="39"/>
    <w:unhideWhenUsed/>
    <w:pPr>
      <w:spacing w:after="57"/>
      <w:ind w:left="850" w:right="0" w:firstLine="0"/>
    </w:pPr>
  </w:style>
  <w:style w:type="paragraph" w:styleId="830">
    <w:name w:val="toc 5"/>
    <w:basedOn w:val="837"/>
    <w:next w:val="837"/>
    <w:uiPriority w:val="39"/>
    <w:unhideWhenUsed/>
    <w:pPr>
      <w:spacing w:after="57"/>
      <w:ind w:left="1134" w:right="0" w:firstLine="0"/>
    </w:pPr>
  </w:style>
  <w:style w:type="paragraph" w:styleId="831">
    <w:name w:val="toc 6"/>
    <w:basedOn w:val="837"/>
    <w:next w:val="837"/>
    <w:uiPriority w:val="39"/>
    <w:unhideWhenUsed/>
    <w:pPr>
      <w:spacing w:after="57"/>
      <w:ind w:left="1417" w:right="0" w:firstLine="0"/>
    </w:pPr>
  </w:style>
  <w:style w:type="paragraph" w:styleId="832">
    <w:name w:val="toc 7"/>
    <w:basedOn w:val="837"/>
    <w:next w:val="837"/>
    <w:uiPriority w:val="39"/>
    <w:unhideWhenUsed/>
    <w:pPr>
      <w:spacing w:after="57"/>
      <w:ind w:left="1701" w:right="0" w:firstLine="0"/>
    </w:pPr>
  </w:style>
  <w:style w:type="paragraph" w:styleId="833">
    <w:name w:val="toc 8"/>
    <w:basedOn w:val="837"/>
    <w:next w:val="837"/>
    <w:uiPriority w:val="39"/>
    <w:unhideWhenUsed/>
    <w:pPr>
      <w:spacing w:after="57"/>
      <w:ind w:left="1984" w:right="0" w:firstLine="0"/>
    </w:pPr>
  </w:style>
  <w:style w:type="paragraph" w:styleId="834">
    <w:name w:val="toc 9"/>
    <w:basedOn w:val="837"/>
    <w:next w:val="837"/>
    <w:uiPriority w:val="39"/>
    <w:unhideWhenUsed/>
    <w:pPr>
      <w:spacing w:after="57"/>
      <w:ind w:left="2268" w:right="0" w:firstLine="0"/>
    </w:pPr>
  </w:style>
  <w:style w:type="paragraph" w:styleId="835">
    <w:name w:val="TOC Heading"/>
    <w:uiPriority w:val="39"/>
    <w:unhideWhenUsed/>
  </w:style>
  <w:style w:type="paragraph" w:styleId="836">
    <w:name w:val="table of figures"/>
    <w:basedOn w:val="837"/>
    <w:next w:val="837"/>
    <w:uiPriority w:val="99"/>
    <w:unhideWhenUsed/>
    <w:pPr>
      <w:spacing w:after="0" w:afterAutospacing="0"/>
    </w:pPr>
  </w:style>
  <w:style w:type="paragraph" w:styleId="83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bCs/>
      <w:sz w:val="28"/>
      <w:szCs w:val="28"/>
      <w:lang w:eastAsia="ru-RU"/>
    </w:rPr>
  </w:style>
  <w:style w:type="paragraph" w:styleId="838">
    <w:name w:val="Heading 1"/>
    <w:basedOn w:val="837"/>
    <w:next w:val="837"/>
    <w:link w:val="842"/>
    <w:qFormat/>
    <w:pPr>
      <w:keepNext/>
      <w:ind w:firstLine="624"/>
      <w:jc w:val="center"/>
      <w:outlineLvl w:val="0"/>
    </w:pPr>
    <w:rPr>
      <w:b/>
      <w:bCs w:val="0"/>
      <w:szCs w:val="20"/>
    </w:rPr>
  </w:style>
  <w:style w:type="character" w:styleId="839" w:default="1">
    <w:name w:val="Default Paragraph Font"/>
    <w:uiPriority w:val="1"/>
    <w:semiHidden/>
    <w:unhideWhenUsed/>
  </w:style>
  <w:style w:type="table" w:styleId="84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1" w:default="1">
    <w:name w:val="No List"/>
    <w:uiPriority w:val="99"/>
    <w:semiHidden/>
    <w:unhideWhenUsed/>
  </w:style>
  <w:style w:type="character" w:styleId="842" w:customStyle="1">
    <w:name w:val="Заголовок 1 Знак"/>
    <w:basedOn w:val="839"/>
    <w:link w:val="838"/>
    <w:rPr>
      <w:rFonts w:ascii="Times New Roman" w:hAnsi="Times New Roman" w:eastAsia="Times New Roman" w:cs="Times New Roman"/>
      <w:b/>
      <w:sz w:val="28"/>
      <w:szCs w:val="20"/>
    </w:rPr>
  </w:style>
  <w:style w:type="paragraph" w:styleId="843">
    <w:name w:val="Footer"/>
    <w:basedOn w:val="837"/>
    <w:link w:val="844"/>
    <w:uiPriority w:val="99"/>
    <w:semiHidden/>
    <w:unhideWhenUsed/>
    <w:pPr>
      <w:tabs>
        <w:tab w:val="center" w:pos="4536" w:leader="none"/>
        <w:tab w:val="right" w:pos="9072" w:leader="none"/>
      </w:tabs>
      <w:ind w:firstLine="709"/>
      <w:jc w:val="both"/>
    </w:pPr>
    <w:rPr>
      <w:bCs w:val="0"/>
      <w:szCs w:val="20"/>
    </w:rPr>
  </w:style>
  <w:style w:type="character" w:styleId="844" w:customStyle="1">
    <w:name w:val="Нижний колонтитул Знак"/>
    <w:basedOn w:val="839"/>
    <w:link w:val="843"/>
    <w:uiPriority w:val="99"/>
    <w:semiHidden/>
    <w:rPr>
      <w:rFonts w:ascii="Times New Roman" w:hAnsi="Times New Roman" w:eastAsia="Times New Roman" w:cs="Times New Roman"/>
      <w:sz w:val="28"/>
      <w:szCs w:val="20"/>
    </w:rPr>
  </w:style>
  <w:style w:type="paragraph" w:styleId="845">
    <w:name w:val="Balloon Text"/>
    <w:basedOn w:val="837"/>
    <w:link w:val="846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46" w:customStyle="1">
    <w:name w:val="Текст выноски Знак"/>
    <w:basedOn w:val="839"/>
    <w:link w:val="845"/>
    <w:uiPriority w:val="99"/>
    <w:semiHidden/>
    <w:rPr>
      <w:rFonts w:ascii="Segoe UI" w:hAnsi="Segoe UI" w:eastAsia="Times New Roman" w:cs="Segoe UI"/>
      <w:bCs/>
      <w:sz w:val="18"/>
      <w:szCs w:val="18"/>
      <w:lang w:eastAsia="ru-RU"/>
    </w:rPr>
  </w:style>
  <w:style w:type="paragraph" w:styleId="847">
    <w:name w:val="List Paragraph"/>
    <w:basedOn w:val="837"/>
    <w:uiPriority w:val="34"/>
    <w:qFormat/>
    <w:pPr>
      <w:ind w:left="720"/>
      <w:contextualSpacing/>
    </w:pPr>
  </w:style>
  <w:style w:type="paragraph" w:styleId="848" w:customStyle="1">
    <w:name w:val="Нижний колонтитул"/>
    <w:uiPriority w:val="99"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tabs>
        <w:tab w:val="center" w:pos="4536" w:leader="none"/>
        <w:tab w:val="right" w:pos="9072" w:leader="none"/>
      </w:tabs>
      <w:spacing w:before="0" w:beforeAutospacing="0" w:after="0" w:afterAutospacing="0" w:line="240" w:lineRule="auto"/>
      <w:ind w:left="0" w:right="0" w:firstLine="709"/>
      <w:contextualSpacing w:val="0"/>
      <w:jc w:val="both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character" w:styleId="849" w:customStyle="1">
    <w:name w:val="Гиперссылка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Коновальчикова Софья Сергеевна</dc:creator>
  <cp:keywords/>
  <dc:description/>
  <cp:revision>15</cp:revision>
  <dcterms:created xsi:type="dcterms:W3CDTF">2022-10-04T03:26:00Z</dcterms:created>
  <dcterms:modified xsi:type="dcterms:W3CDTF">2025-12-05T05:25:43Z</dcterms:modified>
</cp:coreProperties>
</file>