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2870835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Square wrapText="bothSides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26.05pt;mso-position-horizontal:absolute;mso-position-vertical-relative:text;margin-top:0.20pt;mso-position-vertical:absolute;width:43.50pt;height:51.75pt;mso-wrap-distance-left:9.00pt;mso-wrap-distance-top:0.00pt;mso-wrap-distance-right:9.00pt;mso-wrap-distance-bottom:0.00pt;">
                <v:path textboxrect="0,0,0,0"/>
                <w10:wrap type="square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</w:rPr>
      </w:r>
      <w:r>
        <w:rPr>
          <w:rFonts w:ascii="Times New Roman" w:hAnsi="Times New Roman" w:eastAsia="Times New Roman" w:cs="Times New Roman"/>
          <w:sz w:val="30"/>
          <w:szCs w:val="30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929"/>
        <w:tblW w:w="1045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2" w:tooltip="mailto:k_budg@zsnso.ru" w:history="1"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17146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9264;mso-wrap-distance-left:9.00pt;mso-wrap-distance-top:0.00pt;mso-wrap-distance-right:9.00pt;mso-wrap-distance-bottom:0.00pt;flip:y;visibility:visible;" from="1.4pt,1.3pt" to="514.4pt,1.4pt" filled="f" strokecolor="#000000" strokeweight="1.50pt"/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23 апреля 2026 года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         ул.Кирова,3 малый зал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1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ПРОТОКОЛ № 5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tbl>
      <w:tblPr>
        <w:tblStyle w:val="930"/>
        <w:tblW w:w="1006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83"/>
        <w:gridCol w:w="962"/>
        <w:gridCol w:w="4820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Председатель комитета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Заместители председателя комитета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Кальченко Сергей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Любавский Андрей Валерьевич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Плотников Владислав Львович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Юминов Денис Юрьевич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Конько Сер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гей Григорьевич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Приглашенные, участники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23 участника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(список прилагается)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_______________________________________________________________________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Вопрос: 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О проекте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 закона Новосибирской области «О внесении изменений в Закон Новосибирской области «Об областном бюджете Новосибирской области на 2026 год и плановый период 2027 и 2028 годов», второе чтение. Рассмотрение поправок субъектов права законодательной инициативы.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Содоклад: Голубенк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</w:r>
    </w:p>
    <w:p>
      <w:pPr>
        <w:pStyle w:val="769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69"/>
        <w:ind w:firstLine="720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 xml:space="preserve">Поправки Губернатора Новосибирской области</w:t>
      </w:r>
      <w:r>
        <w:rPr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 xml:space="preserve">(№ 1 - 76)</w:t>
      </w:r>
      <w:r>
        <w:rPr>
          <w:rFonts w:ascii="Times New Roman" w:hAnsi="Times New Roman" w:eastAsia="Times New Roman" w:cs="Times New Roman"/>
          <w:bCs/>
          <w:sz w:val="28"/>
          <w:szCs w:val="28"/>
          <w:u w:val="single"/>
        </w:rPr>
        <w:t xml:space="preserve">:</w:t>
      </w:r>
      <w:r>
        <w:rPr>
          <w:rFonts w:ascii="Times New Roman" w:hAnsi="Times New Roman" w:cs="Times New Roman"/>
          <w:bCs/>
          <w:i/>
          <w:sz w:val="28"/>
          <w:szCs w:val="28"/>
          <w:u w:val="single"/>
        </w:rPr>
      </w:r>
    </w:p>
    <w:p>
      <w:pPr>
        <w:pStyle w:val="769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68"/>
        <w:numPr>
          <w:ilvl w:val="0"/>
          <w:numId w:val="22"/>
        </w:numPr>
        <w:ind w:left="0" w:firstLine="709"/>
        <w:jc w:val="both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Источники расходов областного бюджета увеличены в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2026 году на 875 263,9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., в 2027 году на 105 489,0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., в 2028 году на 154 511,0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 (поправки №№ 14, 15, 25, 58, 59, 69, 70), в том числе: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финансов и налоговой политики Новосибирской области в 2026 году источники расходов сформированы за счет увеличения бюджетных ассигнований резервного фонда Правительства Новосибирской области на сумму 825 443,2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(поправка № 14), отказа от реализации инициативного проекта в сумме 2 500,0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(Новосибирский район Новосибирской области) (поправки №№ 59, 70), а также за счет неиспользуемой субсидии на сбалансированность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Купинскому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району Новосибирской области (расходы на содержание объекта, не введенного в эксплуатацию) в сумме 15 875,7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(поправки №№ 58, 69);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сельского хозяйства Новосибирской области в 2026 году источники расходов сформированы за счет уменьшения расходов на НИОКР в сумме 31 445,1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(поправка № 25);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7"/>
          <w:szCs w:val="27"/>
          <w:highlight w:val="yellow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условно утвержденные расходы в 2027 году увеличены на 105 489,0 тыс. руб., в 2028 году на 154 511,0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(поправка № 15).</w:t>
      </w:r>
      <w:r>
        <w:rPr>
          <w:rFonts w:ascii="Times New Roman" w:hAnsi="Times New Roman" w:cs="Times New Roman"/>
          <w:sz w:val="27"/>
          <w:szCs w:val="27"/>
          <w:highlight w:val="yellow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 14, 15, 25, 58, 59, 69, 70</w:t>
      </w:r>
      <w:r>
        <w:rPr>
          <w:rFonts w:ascii="Times New Roman" w:hAnsi="Times New Roman"/>
          <w:color w:val="000000"/>
          <w:sz w:val="28"/>
          <w:szCs w:val="28"/>
        </w:rPr>
        <w:t xml:space="preserve"> в таблицу поправок № 1 – поправки, рекомендуемые комитетом к принятию.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Расходы областного бюджета Новосибирской области в 2026 году увеличены на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875 263,9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, в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2027 году на 105 489,0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., в 2028 году уменьшены на 154 511,0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 (поправки №№ 18, 29, 30, 42-44, 47, 48, 49, 54-57, 60-62, 64, 65, 67, 68, 71-73), в том числе: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жилищно-коммунального хозяйства и энергетики Новосибирской области в 2026 году внесены изменения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расходы, связанные со списанием 2/3 задолженности по бюджетным кредитам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в том числе:</w:t>
      </w:r>
      <w:r>
        <w:rPr>
          <w:rFonts w:ascii="Times New Roman" w:hAnsi="Times New Roman" w:cs="Times New Roman"/>
          <w:b/>
          <w:bCs/>
          <w:sz w:val="27"/>
          <w:szCs w:val="27"/>
        </w:rPr>
      </w:r>
    </w:p>
    <w:p>
      <w:pPr>
        <w:jc w:val="both"/>
        <w:spacing w:line="240" w:lineRule="auto"/>
        <w:rPr>
          <w:rFonts w:ascii="Times New Roman" w:hAnsi="Times New Roman" w:cs="Times New Roman"/>
          <w:b/>
          <w:sz w:val="27"/>
          <w:szCs w:val="27"/>
          <w:u w:val="single"/>
        </w:rPr>
      </w:pPr>
      <w:r>
        <w:rPr>
          <w:rFonts w:ascii="Times New Roman" w:hAnsi="Times New Roman" w:cs="Times New Roman"/>
          <w:b/>
          <w:sz w:val="27"/>
          <w:szCs w:val="27"/>
          <w:u w:val="single"/>
        </w:rPr>
      </w:r>
      <w:r>
        <w:rPr>
          <w:rFonts w:ascii="Times New Roman" w:hAnsi="Times New Roman" w:cs="Times New Roman"/>
          <w:b/>
          <w:sz w:val="27"/>
          <w:szCs w:val="27"/>
          <w:u w:val="singl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увеличены бюджетные ассигнования на сумму 128 068,3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для завершения строительства объектов системы водоснабжения в г. Татарске Татарского района Новосибирской области (корректировка ПСД, повторная экспертиза, удорожание объекта) (поправки №№ 61, 65);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уменьшены бюджетные ассигнования на сумму 78 556,2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по результатам проведения конкурсных процедур (поправки №№ 61, 65) по следующим районам: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69"/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Баганский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- 1 412,6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69"/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Каргатский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- 5 062,5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69"/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Коченевский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- 11 630,3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69"/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Краснозерский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- 414,4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69"/>
        <w:ind w:left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Ордынский район Новосибирской области - 16 049,1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69"/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Усть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-Тарский район Новосибирской области - 3 901,1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69"/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Чистоозерный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- 3 003,6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69"/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Доволенский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муниципальный округ - 16 049,4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69"/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Карасукский муниципальный округ - 17 117,4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69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Татарский муниципальный округ - 3 915,8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перераспределены бюджетные ассигнования в 2026 году на переселение граждан из аварийного жилищного фонда на сумму 5 639,2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(увеличение 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Мошковскому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району Новосибирской области, уменьшение по г. Обь Новосибирской области (поправка № 62);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инистерству физической культуры и спорта Новосибирской области и министерству строительства Новосибирской области перераспределены бюджетные ассигнования для уплаты имущественного и земельного налогов по ГАУ НСО «Сибирь-Арена» в 2026 году в сумме 49 468,2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на 2027 - 2028 годы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 102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434,8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ежегодно (поправка № 42);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департаменту молодежной политике Новосибирской области увеличены в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 2026 году бюджетные ассигнования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сумме 2 366,0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для участия в международном фестивале молодежи в г. Екатеринбурге (поправка № 18)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;</w:t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образования Новосибирской области в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2026 году: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увеличены бюджетные ассигнования в сумме 41 231,5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на завершение капитального ремонта здания МКОУ СОШ № 2 в г. Болотное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Болотнинского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(реализация мероприятий федерального проекта) (поправки №№ 54, 67);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увеличены бюджетные ассигнования в сумме 15 768,9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на завершение капитального ремонта здания МКОУ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Дивинской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СОШ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Болотнинского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(реализация мероприятий федерального проекта) (поправки №№ 55, 67);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предусмотрены бюджетные ассигнования в сумме 8 516,4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на проведение капитального ремонта здания МАОУ «Экономический лицей» г. Бердск Новосибирской области (поправки №№ 56, 67);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транспорта и дорожного хозяйства Новосибирской области: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предусмотрены бюджетные ассигнования на строительство дороги к остановочной платформе в Советском районе г. Новосибирска на 2027 год в сумме 100 000,0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на 2028 год в сумме 300 000,0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(поправки №№ 49, 64)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;</w:t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перераспределены бюджетные ассигнования в 2026 году в сумме 43 000,0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с объекта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ремонт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а/д 70 км а/д «К-12 – Пихтовка-Пономаревка»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Колыванском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районе» на объект «строительство а/д к реабилитационному центру в г. Бердске (поправки №№ 48, 49, 64);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перераспределены бюджетные ассигнования в сумме 66 440,1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(поправки №№ 48, 49, 64),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2026 году в сумме 35 390,6 тыс. рублей с объекта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Ремонт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а/д "70 км а/д "К-12" - Пихтовка -Пономаревка"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Колыванском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районе»;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2027 году в сумме 31 049,5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‬тыс. рублей с расходов на разработку проектно-сметной документации для нужд дорожно-строительного комплекса (ГКУ НСО ТУАД) на объект "Капитальный ремонт моста через реку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Власиха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а/д "г. Новосибирск - с. Толмачево - г. Обь" в Новосибирском районе НСО";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культуры Новосибирской области предусмотрены бюджетные ассигнования на 2026 год в объеме 14 740,4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на завершение модернизации здания МБОУ ДО «Детская музыкальная школа» г.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Искитима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Новосибирской области (реализация мероприятий федерального проекта) (поправки №№ 43, 44, 68, 73);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поправки, подготовленные по предложениям депутатов Законодательного Собрания Новосибирской области,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терству жилищно-коммунального хозяйства и энергетики Новосибирской области увеличена субсидия муниципальным образованиям Новосибирской области на организацию бесперебойной работы объектов тепло-, водоснабжения и водоотведения на 2026 год в сумме 513 562,3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(поправки №№ 60, 71);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образования Новосибирской области предусмотрены бюджетные ассигнования на 2026 год муниципальным образованиям Новосибирской области в объеме 76 931,1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на проведение обследования образовательных организаций специализированными организациями в целях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определения их технического состояния, потребности проведения работ по капитальному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ремонту.(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поправки №№ 57, 67)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 xml:space="preserve">;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строительства Новосибирской области на строительство подстанции скорой помощи в Первомайском районе г. Новосибирска предусмотрены бюджетные ассигнования в 2026 году в сумме в 140 000,0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в 2027 году увеличены бюджетные ассигнования на 5 489,0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в 2028 году бюджетные ассигнования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сумме  145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489,0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исключены (поправка № 29);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культуры Новосибирской области увеличены бюджетные ассигнования в 2026 году на 12 635,1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руб. для завершения ремонтных работ по объекту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Купинский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мемориально-музейный комплекс», реализуемого в рамках национального проекта «Семья» (поправки №№ 47, 72).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Назаров Е.Г., Плотников В.Л.,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Голубенко В.Ю.,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Жафярова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 М.Н., </w:t>
      </w:r>
      <w:r>
        <w:rPr>
          <w:rFonts w:ascii="Times New Roman" w:hAnsi="Times New Roman"/>
          <w:sz w:val="28"/>
          <w:szCs w:val="28"/>
          <w:highlight w:val="white"/>
        </w:rPr>
        <w:t xml:space="preserve">Диденко И.В.,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Костылевский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 А.В.,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Зимняков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 </w:t>
      </w:r>
      <w:bookmarkStart w:id="0" w:name="_GoBack"/>
      <w:r>
        <w:rPr>
          <w:highlight w:val="white"/>
        </w:rPr>
      </w:r>
      <w:bookmarkEnd w:id="0"/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Ю.В., Юминов Д.Ю.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 18, 29, 30, 42-44, 47, 48, 49, 54-57, 60-62, 64, 65, 67, 68, 71-73</w:t>
      </w:r>
      <w:r>
        <w:rPr>
          <w:rFonts w:ascii="Times New Roman" w:hAnsi="Times New Roman"/>
          <w:color w:val="000000"/>
          <w:sz w:val="28"/>
          <w:szCs w:val="28"/>
        </w:rPr>
        <w:t xml:space="preserve"> в таблицу поправок № 1 – поправки, рекомендуемые комитетом к принятию.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20"/>
        <w:jc w:val="both"/>
        <w:spacing w:line="240" w:lineRule="auto"/>
        <w:rPr>
          <w:b/>
          <w:bCs/>
          <w:sz w:val="27"/>
          <w:szCs w:val="27"/>
          <w:u w:val="single"/>
        </w:rPr>
      </w:pPr>
      <w:r>
        <w:rPr>
          <w:b/>
          <w:bCs/>
          <w:sz w:val="27"/>
          <w:szCs w:val="27"/>
          <w:u w:val="single"/>
        </w:rPr>
      </w:r>
      <w:r>
        <w:rPr>
          <w:b/>
          <w:bCs/>
          <w:sz w:val="27"/>
          <w:szCs w:val="27"/>
          <w:u w:val="single"/>
        </w:rPr>
      </w:r>
    </w:p>
    <w:p>
      <w:pPr>
        <w:pStyle w:val="769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3.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Перераспределение бюджетных ассигнований (поправки №№ 16, 17, 19-22, 27, 31-35, 37-41, 45, 46, 50-53, 58, 63, 66, 69), в том числе: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69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769"/>
        <w:ind w:firstLine="720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3.1. Перераспределены бюджетные ассигнования по наказам избирателей </w:t>
      </w:r>
      <w:r>
        <w:rPr>
          <w:rFonts w:ascii="Times New Roman" w:hAnsi="Times New Roman" w:eastAsia="Times New Roman" w:cs="Times New Roman"/>
          <w:color w:val="444444"/>
          <w:sz w:val="28"/>
          <w:szCs w:val="28"/>
        </w:rPr>
        <w:t xml:space="preserve">депутатам Законодательного Собрания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рамках </w:t>
      </w:r>
      <w:r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перераспределения 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highlight w:val="white"/>
        </w:rPr>
        <w:t xml:space="preserve">субсидии на реализацию мероприятий по обеспечению сбалансированности местных бюджетов в рамках государственной программы Новосибирской области «Управление финансами в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(поправки №№ 31, 45, 46, 50-53, 58, 69,),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/>
    </w:p>
    <w:p>
      <w:pPr>
        <w:pStyle w:val="76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г.Новосибирска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министерство здравоохранения Новосибирской области для ГБУЗ НСО «ГКБСМП №2»;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6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с г. Новосибирска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министерство здравоохранения Новосибирской области для ГБУЗ НСО «ГКП №7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6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с г. Новосибирска на министерство здравоохранения Новосибирской области для ГБУЗ НСО ГКП №2;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69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1 000,0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с г. Новосибирска на министерство здравоохранения Новосибирской области для ГБУЗ НСО «ГКБ №12»;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69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с г. Новосибирска на министерство здравоохранения Новосибирской области для ГБУЗ НСО ГКП 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 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69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250,0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с г. Новосибирска на министерство здравоохранения Новосибирской области для ГБУЗ НСО ГКП №19;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69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80,0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с г. Новосибирска на министерство здравоохранения Новосибирской области для ГБУЗ НСО ГКП №20;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69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с г. Новосибирска на министерство здравоохранения Новосибирской области для ГБУЗ НСО ГНКПБ №3;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6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с г. Новосибирска на министерство здравоохранения Новосибирской области для ГБУЗ НСО ДЛРЦ;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69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с г. Новосибирска на министерство образования Новосибирской области для ГБПОУ НСО «Новосибирский авиационный технический колледж им. Б.С.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Галущака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6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150,0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с г. Новосибирска на министерство образования Новосибирской области для ГБПОУ НСО «Новосибирский колледж легкой промышленности и сервиса»; 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6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250,0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с г. Новосибирска на министерство образования Новосибирской области для ГБПОУ НСО «Новосибирский центр профессионального обучения №2 им. Героя России Ю.М. Наумова»;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6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360,0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с г. Новосибирска на министерство образования Новосибирской области для ГБПОУ НСО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НКССиС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6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с г. Бердска на министерство образования Новосибирской области для ГБПОУ НСО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Бердский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политехнический колледж»;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69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75,0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с г. Новосибирска на министерство культуры Новосибирской области для ГАУК НСО «Дом культуры им. Октябрьской революции»;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69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с г. Новосибирска на министерство культуры Новосибирской области для ГАУК НСО «Новосибирский драматический театр Старый дом»;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69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1 000,0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с г. Бердска на г.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Искитим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3.2. Перераспределены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жилищно-коммунального хозяйства и энергетики Новосибирской области бюджетные ассигнования за счет средств федерального бюджета и средств областного бюджета Новосибирской области, предусмотренные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софинансирование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перераспределена субсидия на формирование комфортной городской среды в 2026 году в размере 36 127,5 тыс. руб. по следующим муниципальным образованиям Новосибирской области (поправка № 66):</w:t>
      </w:r>
      <w:r>
        <w:rPr>
          <w:rFonts w:ascii="Times New Roman" w:hAnsi="Times New Roman" w:cs="Times New Roman"/>
          <w:b/>
          <w:sz w:val="27"/>
          <w:szCs w:val="27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уменьшены бюджетные ассигнования в связи с отсутствием заключенных контрактов (Новосибирский район Новосибирской области на сумму 7 024,6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Черепановский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на сумму 2 835,9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.), а также в связи с экономией по результатам торгов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Линево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Искитимского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на сумму 6 472,4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г. Каргат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Каргатского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на сумму 246,2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Краснообск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Новосибирской области на сумму 5 307,1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Новосибирский район Новосибирской области на сумму 4 201,0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Мошковский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на сумму 48,1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Ордынское Ордынского района  Новосибирской области на сумму 303,8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Горный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Искитимского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Новосибирской области на сумму 472,1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Доволенский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муниципальный округ на сумму  3 186,4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г.Искитим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Искитимского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на сумму 6 029,9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увеличены бюджетные ассигнования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Баганскому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муниципальному округу на сумму 5 236,1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Здвинскому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району Новосибирской области на сумму 2 389,0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.Новосибирскому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району Новосибирской области на сумму 4 816,6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г. Купино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купинского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на сумму 9 000,0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Карасукскому муниципальному округу на сумму 10 000,0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Татарскому муниципальному округу на сумму 4 685,8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перераспределена субсидия на реализацию мероприятий по модернизации коммунальной инфраструктуры в 2026 году по муниципальным образованиям Новосибирской области в размере 227 994,8 тыс.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(поправка № 63),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cs="Times New Roman"/>
          <w:b/>
          <w:sz w:val="27"/>
          <w:szCs w:val="27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уменьшены бюджетные ассигнования (экономия по результатам конкурсных процедур по объектам) на «Строительство водопроводных сетей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р.п.Сузун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Сузунского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области» в сумме 84 355,6 тыс. руб. и на «Строительство водопровода от сетей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Горводоканала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до ст.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Мочище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Станционный с/с Новосибирского района» в сумме143 639,2 тыс. руб.;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увеличены бюджетные ассигнования на «Замена сетей теплоснабжения в городе Карасуке Карасукского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на участке от котельной №20 по ул. Ленина, 126 до ЦТП №3 по ул. Ленина, 135а» в сумме 108 924,3 тыс. руб. и на «Реконструкция водопроводных сетей по ул. Планетная, Советская, Молодежная, Октябрьская, Строительная, Центральная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Горный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Тогучинского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НСО» в сумме 119 070,5 тыс. руб.;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b/>
          <w:sz w:val="27"/>
          <w:szCs w:val="27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3.3. Иные перераспределения бюджетных ассигнований:</w:t>
      </w:r>
      <w:r>
        <w:rPr>
          <w:rFonts w:ascii="Times New Roman" w:hAnsi="Times New Roman" w:cs="Times New Roman"/>
          <w:b/>
          <w:sz w:val="27"/>
          <w:szCs w:val="27"/>
          <w:u w:val="singl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труда и социального развития Новосибирской области уточнение вида расходов (поправки №№ 19-22);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управлению делами Губернатора Новосибирской области и Правительства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перекодировка между видами расходов (поправки №№ 16, 17);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здравоохранения Новосибирской области-изменение целевой статьи расходов (технический характер) (поправки №№ 32-35);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7"/>
          <w:szCs w:val="27"/>
          <w:highlight w:val="yellow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физической культуры и спорта Новосибирской области - изменение целевой статьи расходов (поправки №№ 37-41).</w:t>
      </w:r>
      <w:r>
        <w:rPr>
          <w:rFonts w:ascii="Times New Roman" w:hAnsi="Times New Roman" w:cs="Times New Roman"/>
          <w:sz w:val="27"/>
          <w:szCs w:val="27"/>
          <w:highlight w:val="yellow"/>
        </w:rPr>
      </w:r>
    </w:p>
    <w:p>
      <w:pPr>
        <w:pStyle w:val="769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 16, 17, 19-22, 27, 31-35, 37-41, 45, 46, 50-53, 58, 63, 66, 69</w:t>
      </w:r>
      <w:r>
        <w:rPr>
          <w:rFonts w:ascii="Times New Roman" w:hAnsi="Times New Roman"/>
          <w:color w:val="000000"/>
          <w:sz w:val="28"/>
          <w:szCs w:val="28"/>
        </w:rPr>
        <w:t xml:space="preserve"> в таблицу поправок № 1 – поправки, рекомендуемые комитетом к принятию.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9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769"/>
        <w:ind w:firstLine="720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4. Поправки, подготовленные по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заключению аппарата Законодательного Собрания Новосибирской области, иные текстовые поправки, приложения (поправки №№ 1-13, 8, 22, 23, 24, 26, 28, 36- 41, 74-76).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769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 1-13, 8, 22, 23, 24, 26, 28, 36- 41, 74-76</w:t>
      </w:r>
      <w:r>
        <w:rPr>
          <w:rFonts w:ascii="Times New Roman" w:hAnsi="Times New Roman"/>
          <w:color w:val="000000"/>
          <w:sz w:val="28"/>
          <w:szCs w:val="28"/>
        </w:rPr>
        <w:t xml:space="preserve"> в таблицу поправок № 1 – поправки, рекомендуемые комитетом к принятию.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9"/>
        <w:ind w:firstLine="720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«О внесении изменений в Закон Новосибирской области «Об областном бюджете Новосибирской области на 2026 год и плановый период 2027 и 2028</w:t>
      </w:r>
      <w:bookmarkStart w:id="1" w:name="undefined"/>
      <w:r/>
      <w:bookmarkEnd w:id="1"/>
      <w:r>
        <w:rPr>
          <w:rFonts w:ascii="Times New Roman" w:hAnsi="Times New Roman" w:cs="Times New Roman"/>
          <w:sz w:val="28"/>
          <w:szCs w:val="28"/>
        </w:rPr>
        <w:t xml:space="preserve"> годов» и рекомендовать его к принятию во втором чтении с учетом поправок, сформированных в таблицу № 1 – поправки, рекомендуемые комитетом к принятию.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Законодательного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Собрания Новосибирской области –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И.В. Диденко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76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</w:p>
    <w:p>
      <w:pPr>
        <w:pStyle w:val="76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5</w:t>
      </w:r>
      <w:r>
        <w:rPr>
          <w:rFonts w:ascii="Times New Roman" w:hAnsi="Times New Roman"/>
          <w:sz w:val="28"/>
          <w:szCs w:val="28"/>
        </w:rPr>
      </w:r>
    </w:p>
    <w:p>
      <w:pPr>
        <w:pStyle w:val="769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от 23 апреля 20</w:t>
      </w:r>
      <w:r>
        <w:rPr>
          <w:rFonts w:ascii="Times New Roman" w:hAnsi="Times New Roman"/>
          <w:sz w:val="28"/>
          <w:szCs w:val="28"/>
        </w:rPr>
        <w:t xml:space="preserve">26 года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6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Новосибирской области по 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6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бюджетной, 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Ахапов</w:t>
      </w:r>
      <w:r>
        <w:rPr>
          <w:rFonts w:ascii="Times New Roman" w:hAnsi="Times New Roman"/>
          <w:sz w:val="28"/>
          <w:szCs w:val="28"/>
          <w:highlight w:val="white"/>
        </w:rPr>
        <w:t xml:space="preserve"> Сергей Александрович – министр физической культуры и спорта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Бакулина Вера Ивановна – начальник департамента по социально-экономическим вопросам аппарата </w:t>
      </w:r>
      <w:r>
        <w:rPr>
          <w:rFonts w:ascii="Times New Roman" w:hAnsi="Times New Roman"/>
          <w:sz w:val="28"/>
          <w:szCs w:val="28"/>
        </w:rPr>
        <w:t xml:space="preserve">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Бахарева</w:t>
      </w:r>
      <w:r>
        <w:rPr>
          <w:rFonts w:ascii="Times New Roman" w:hAnsi="Times New Roman"/>
          <w:sz w:val="28"/>
          <w:szCs w:val="28"/>
        </w:rPr>
        <w:t xml:space="preserve"> Елена Викторовна</w:t>
      </w:r>
      <w:r>
        <w:rPr>
          <w:rFonts w:ascii="Times New Roman" w:hAnsi="Times New Roman"/>
          <w:sz w:val="28"/>
          <w:szCs w:val="28"/>
          <w:highlight w:val="white"/>
        </w:rPr>
        <w:t xml:space="preserve"> – министр труда и социального развития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Безрученкова</w:t>
      </w:r>
      <w:r>
        <w:rPr>
          <w:rFonts w:ascii="Times New Roman" w:hAnsi="Times New Roman"/>
          <w:sz w:val="28"/>
          <w:szCs w:val="28"/>
        </w:rPr>
        <w:t xml:space="preserve"> Наталья Владимировна, депутат комитета Законодательного Собрания Новосибирской области по транспортной, промышленной и информационной политике;</w:t>
      </w:r>
      <w:r>
        <w:rPr>
          <w:rFonts w:ascii="Times New Roman" w:hAnsi="Times New Roman"/>
          <w:sz w:val="28"/>
          <w:szCs w:val="28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Буянкина Юлия Алексеевна – заместитель </w:t>
      </w:r>
      <w:r>
        <w:rPr>
          <w:rFonts w:ascii="Times New Roman" w:hAnsi="Times New Roman"/>
          <w:sz w:val="28"/>
          <w:szCs w:val="28"/>
          <w:highlight w:val="white"/>
        </w:rPr>
        <w:t xml:space="preserve">начальника департамента по правовым вопросам аппарата </w:t>
      </w:r>
      <w:r>
        <w:rPr>
          <w:rFonts w:ascii="Times New Roman" w:hAnsi="Times New Roman"/>
          <w:sz w:val="28"/>
          <w:szCs w:val="28"/>
        </w:rPr>
        <w:t xml:space="preserve">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Варда</w:t>
      </w:r>
      <w:r>
        <w:rPr>
          <w:rFonts w:ascii="Times New Roman" w:hAnsi="Times New Roman"/>
          <w:sz w:val="28"/>
          <w:szCs w:val="28"/>
          <w:highlight w:val="white"/>
        </w:rPr>
        <w:t xml:space="preserve"> Татьяна Александровна – начальник департамента по правовым вопросам аппарата </w:t>
      </w:r>
      <w:r>
        <w:rPr>
          <w:rFonts w:ascii="Times New Roman" w:hAnsi="Times New Roman"/>
          <w:sz w:val="28"/>
          <w:szCs w:val="28"/>
        </w:rPr>
        <w:t xml:space="preserve">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Васильев Вадим Витальевич – министр науки и инновационной политики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Гончарова Елена Анатольевна – председатель Контрольно-счетной палаты Новосибирской области</w:t>
      </w:r>
      <w: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Заблодский</w:t>
      </w:r>
      <w:r>
        <w:rPr>
          <w:rFonts w:ascii="Times New Roman" w:hAnsi="Times New Roman"/>
          <w:sz w:val="28"/>
          <w:szCs w:val="28"/>
          <w:highlight w:val="white"/>
        </w:rPr>
        <w:t xml:space="preserve"> Ростислав Михайлович – министр здравоохранения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Зимняков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 Юрий Васильевич – министр культуры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Калентьева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Наталья Владимировна, заместитель министра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начальник управления законопроектных работ и ведения регистра министерства юстиции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Клемешов</w:t>
      </w:r>
      <w:r>
        <w:rPr>
          <w:rFonts w:ascii="Times New Roman" w:hAnsi="Times New Roman"/>
          <w:sz w:val="28"/>
          <w:szCs w:val="28"/>
          <w:highlight w:val="white"/>
        </w:rPr>
        <w:t xml:space="preserve"> Олег Петрович – заместитель Губернатора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Костылевский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 Анатолий Викторович – министр транспорта и дорожного хозяйства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Мордина</w:t>
      </w:r>
      <w:r>
        <w:rPr>
          <w:rFonts w:ascii="Times New Roman" w:hAnsi="Times New Roman"/>
          <w:sz w:val="28"/>
          <w:szCs w:val="28"/>
        </w:rPr>
        <w:t xml:space="preserve"> Ольга Александровна - </w:t>
      </w:r>
      <w:r>
        <w:rPr>
          <w:rFonts w:ascii="Times New Roman" w:hAnsi="Times New Roman"/>
          <w:sz w:val="28"/>
          <w:szCs w:val="28"/>
          <w:highlight w:val="white"/>
        </w:rPr>
        <w:t xml:space="preserve">нсоветник</w:t>
      </w:r>
      <w:r>
        <w:rPr>
          <w:rFonts w:ascii="Times New Roman" w:hAnsi="Times New Roman"/>
          <w:sz w:val="28"/>
          <w:szCs w:val="28"/>
          <w:highlight w:val="white"/>
        </w:rPr>
        <w:t xml:space="preserve"> департамента по правовым вопросам аппарата </w:t>
      </w:r>
      <w:r>
        <w:rPr>
          <w:rFonts w:ascii="Times New Roman" w:hAnsi="Times New Roman"/>
          <w:sz w:val="28"/>
          <w:szCs w:val="28"/>
        </w:rPr>
        <w:t xml:space="preserve">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Назаров Евгений Николаевич – министр жилищно-коммунального хозяйства и энергетики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Рягузов</w:t>
      </w:r>
      <w:r>
        <w:rPr>
          <w:rFonts w:ascii="Times New Roman" w:hAnsi="Times New Roman"/>
          <w:sz w:val="28"/>
          <w:szCs w:val="28"/>
          <w:highlight w:val="white"/>
        </w:rPr>
        <w:t xml:space="preserve"> Денис Евгеньевич – </w:t>
      </w:r>
      <w:r>
        <w:rPr>
          <w:rFonts w:ascii="Times New Roman" w:hAnsi="Times New Roman"/>
          <w:sz w:val="28"/>
          <w:szCs w:val="28"/>
          <w:highlight w:val="white"/>
        </w:rPr>
        <w:t xml:space="preserve">и.о</w:t>
      </w:r>
      <w:r>
        <w:rPr>
          <w:rFonts w:ascii="Times New Roman" w:hAnsi="Times New Roman"/>
          <w:sz w:val="28"/>
          <w:szCs w:val="28"/>
          <w:highlight w:val="white"/>
        </w:rPr>
        <w:t xml:space="preserve">. министра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Жафярова</w:t>
      </w:r>
      <w:r>
        <w:rPr>
          <w:rFonts w:ascii="Times New Roman" w:hAnsi="Times New Roman"/>
          <w:sz w:val="28"/>
          <w:szCs w:val="28"/>
        </w:rPr>
        <w:t xml:space="preserve"> Мария </w:t>
      </w:r>
      <w:r>
        <w:rPr>
          <w:rFonts w:ascii="Times New Roman" w:hAnsi="Times New Roman"/>
          <w:sz w:val="28"/>
          <w:szCs w:val="28"/>
        </w:rPr>
        <w:t xml:space="preserve">Наильевна</w:t>
      </w:r>
      <w:r>
        <w:rPr>
          <w:rFonts w:ascii="Times New Roman" w:hAnsi="Times New Roman"/>
          <w:sz w:val="28"/>
          <w:szCs w:val="28"/>
          <w:highlight w:val="white"/>
        </w:rPr>
        <w:t xml:space="preserve"> – министр образования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Богомолов 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Дмитрий Николаевич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министр строительства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Толстых Вячеслав Леонидович – старший помощник прокурора Новосибирской области по взаимодействию с законодательным и исполнительными органами, органами местного самоуправления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Шарпф</w:t>
      </w:r>
      <w:r>
        <w:rPr>
          <w:rFonts w:ascii="Times New Roman" w:hAnsi="Times New Roman"/>
          <w:sz w:val="28"/>
          <w:szCs w:val="28"/>
          <w:highlight w:val="white"/>
        </w:rPr>
        <w:t xml:space="preserve"> Светлана Леонидовна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Шестернин Евгений Анатольевич – министр </w:t>
      </w:r>
      <w:r>
        <w:rPr>
          <w:rFonts w:ascii="Times New Roman" w:hAnsi="Times New Roman"/>
          <w:color w:val="212529"/>
          <w:sz w:val="28"/>
          <w:szCs w:val="28"/>
          <w:highlight w:val="white"/>
        </w:rPr>
        <w:t xml:space="preserve">природных ресурсов и экологии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8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Шилохвостов</w:t>
      </w:r>
      <w:r>
        <w:rPr>
          <w:rFonts w:ascii="Times New Roman" w:hAnsi="Times New Roman"/>
          <w:sz w:val="28"/>
          <w:szCs w:val="28"/>
          <w:highlight w:val="white"/>
        </w:rPr>
        <w:t xml:space="preserve">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964" w:left="1134" w:header="709" w:footer="187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spacing w:after="0" w:line="240" w:lineRule="auto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>
      <w:rPr>
        <w:color w:val="000000"/>
      </w:rPr>
    </w:r>
    <w:r>
      <w:rPr>
        <w:color w:val="00000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  <w:highlight w:val="white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4"/>
  </w:num>
  <w:num w:numId="5">
    <w:abstractNumId w:val="16"/>
  </w:num>
  <w:num w:numId="6">
    <w:abstractNumId w:val="15"/>
  </w:num>
  <w:num w:numId="7">
    <w:abstractNumId w:val="10"/>
  </w:num>
  <w:num w:numId="8">
    <w:abstractNumId w:val="4"/>
  </w:num>
  <w:num w:numId="9">
    <w:abstractNumId w:val="0"/>
  </w:num>
  <w:num w:numId="10">
    <w:abstractNumId w:val="1"/>
  </w:num>
  <w:num w:numId="11">
    <w:abstractNumId w:val="27"/>
  </w:num>
  <w:num w:numId="12">
    <w:abstractNumId w:val="17"/>
  </w:num>
  <w:num w:numId="13">
    <w:abstractNumId w:val="28"/>
  </w:num>
  <w:num w:numId="14">
    <w:abstractNumId w:val="23"/>
  </w:num>
  <w:num w:numId="15">
    <w:abstractNumId w:val="2"/>
  </w:num>
  <w:num w:numId="16">
    <w:abstractNumId w:val="7"/>
  </w:num>
  <w:num w:numId="17">
    <w:abstractNumId w:val="25"/>
  </w:num>
  <w:num w:numId="18">
    <w:abstractNumId w:val="26"/>
  </w:num>
  <w:num w:numId="19">
    <w:abstractNumId w:val="9"/>
  </w:num>
  <w:num w:numId="20">
    <w:abstractNumId w:val="14"/>
  </w:num>
  <w:num w:numId="21">
    <w:abstractNumId w:val="22"/>
  </w:num>
  <w:num w:numId="22">
    <w:abstractNumId w:val="6"/>
  </w:num>
  <w:num w:numId="23">
    <w:abstractNumId w:val="19"/>
  </w:num>
  <w:num w:numId="24">
    <w:abstractNumId w:val="18"/>
  </w:num>
  <w:num w:numId="25">
    <w:abstractNumId w:val="29"/>
  </w:num>
  <w:num w:numId="26">
    <w:abstractNumId w:val="11"/>
  </w:num>
  <w:num w:numId="27">
    <w:abstractNumId w:val="20"/>
  </w:num>
  <w:num w:numId="28">
    <w:abstractNumId w:val="8"/>
  </w:num>
  <w:num w:numId="29">
    <w:abstractNumId w:val="12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zh-CN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9" w:default="1">
    <w:name w:val="Normal"/>
  </w:style>
  <w:style w:type="paragraph" w:styleId="730">
    <w:name w:val="Heading 1"/>
    <w:basedOn w:val="729"/>
    <w:next w:val="729"/>
    <w:link w:val="759"/>
    <w:pPr>
      <w:jc w:val="center"/>
      <w:keepNext/>
      <w:spacing w:after="0" w:line="240" w:lineRule="auto"/>
      <w:outlineLvl w:val="0"/>
    </w:pPr>
    <w:rPr>
      <w:b/>
      <w:sz w:val="28"/>
      <w:szCs w:val="28"/>
    </w:rPr>
  </w:style>
  <w:style w:type="paragraph" w:styleId="731">
    <w:name w:val="Heading 2"/>
    <w:basedOn w:val="729"/>
    <w:next w:val="729"/>
    <w:link w:val="760"/>
    <w:pPr>
      <w:jc w:val="center"/>
      <w:keepNext/>
      <w:spacing w:after="0" w:line="240" w:lineRule="auto"/>
      <w:shd w:val="clear" w:color="auto" w:fill="ffffff"/>
      <w:outlineLvl w:val="1"/>
    </w:pPr>
    <w:rPr>
      <w:b/>
      <w:color w:val="000000"/>
      <w:sz w:val="26"/>
      <w:szCs w:val="26"/>
    </w:rPr>
  </w:style>
  <w:style w:type="paragraph" w:styleId="732">
    <w:name w:val="Heading 3"/>
    <w:basedOn w:val="729"/>
    <w:next w:val="729"/>
    <w:link w:val="761"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33">
    <w:name w:val="Heading 4"/>
    <w:basedOn w:val="729"/>
    <w:next w:val="729"/>
    <w:link w:val="762"/>
    <w:pPr>
      <w:keepLines/>
      <w:keepNext/>
      <w:spacing w:before="320"/>
      <w:outlineLvl w:val="3"/>
    </w:pPr>
    <w:rPr>
      <w:rFonts w:ascii="Arial" w:hAnsi="Arial" w:eastAsia="Arial" w:cs="Arial"/>
      <w:b/>
      <w:sz w:val="26"/>
      <w:szCs w:val="26"/>
    </w:rPr>
  </w:style>
  <w:style w:type="paragraph" w:styleId="734">
    <w:name w:val="Heading 5"/>
    <w:basedOn w:val="729"/>
    <w:next w:val="729"/>
    <w:link w:val="763"/>
    <w:pPr>
      <w:keepLines/>
      <w:keepNext/>
      <w:spacing w:before="320"/>
      <w:outlineLvl w:val="4"/>
    </w:pPr>
    <w:rPr>
      <w:rFonts w:ascii="Arial" w:hAnsi="Arial" w:eastAsia="Arial" w:cs="Arial"/>
      <w:b/>
      <w:sz w:val="24"/>
      <w:szCs w:val="24"/>
    </w:rPr>
  </w:style>
  <w:style w:type="paragraph" w:styleId="735">
    <w:name w:val="Heading 6"/>
    <w:basedOn w:val="729"/>
    <w:next w:val="729"/>
    <w:link w:val="764"/>
    <w:pPr>
      <w:keepLines/>
      <w:keepNext/>
      <w:spacing w:before="320"/>
      <w:outlineLvl w:val="5"/>
    </w:pPr>
    <w:rPr>
      <w:rFonts w:ascii="Arial" w:hAnsi="Arial" w:eastAsia="Arial" w:cs="Arial"/>
      <w:b/>
    </w:rPr>
  </w:style>
  <w:style w:type="paragraph" w:styleId="736">
    <w:name w:val="Heading 7"/>
    <w:basedOn w:val="729"/>
    <w:next w:val="729"/>
    <w:link w:val="765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37">
    <w:name w:val="Heading 8"/>
    <w:basedOn w:val="729"/>
    <w:next w:val="729"/>
    <w:link w:val="766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38">
    <w:name w:val="Heading 9"/>
    <w:basedOn w:val="729"/>
    <w:next w:val="729"/>
    <w:link w:val="767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9" w:default="1">
    <w:name w:val="Default Paragraph Font"/>
    <w:uiPriority w:val="1"/>
    <w:semiHidden/>
    <w:unhideWhenUsed/>
  </w:style>
  <w:style w:type="table" w:styleId="74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1" w:default="1">
    <w:name w:val="No List"/>
    <w:uiPriority w:val="99"/>
    <w:semiHidden/>
    <w:unhideWhenUsed/>
  </w:style>
  <w:style w:type="character" w:styleId="742" w:customStyle="1">
    <w:name w:val="Heading 1 Char"/>
    <w:basedOn w:val="739"/>
    <w:uiPriority w:val="9"/>
    <w:rPr>
      <w:rFonts w:ascii="Arial" w:hAnsi="Arial" w:eastAsia="Arial" w:cs="Arial"/>
      <w:sz w:val="40"/>
      <w:szCs w:val="40"/>
    </w:rPr>
  </w:style>
  <w:style w:type="character" w:styleId="743" w:customStyle="1">
    <w:name w:val="Heading 2 Char"/>
    <w:basedOn w:val="739"/>
    <w:uiPriority w:val="9"/>
    <w:rPr>
      <w:rFonts w:ascii="Arial" w:hAnsi="Arial" w:eastAsia="Arial" w:cs="Arial"/>
      <w:sz w:val="34"/>
    </w:rPr>
  </w:style>
  <w:style w:type="character" w:styleId="744" w:customStyle="1">
    <w:name w:val="Heading 3 Char"/>
    <w:basedOn w:val="739"/>
    <w:uiPriority w:val="9"/>
    <w:rPr>
      <w:rFonts w:ascii="Arial" w:hAnsi="Arial" w:eastAsia="Arial" w:cs="Arial"/>
      <w:sz w:val="30"/>
      <w:szCs w:val="30"/>
    </w:rPr>
  </w:style>
  <w:style w:type="character" w:styleId="745" w:customStyle="1">
    <w:name w:val="Heading 4 Char"/>
    <w:basedOn w:val="739"/>
    <w:uiPriority w:val="9"/>
    <w:rPr>
      <w:rFonts w:ascii="Arial" w:hAnsi="Arial" w:eastAsia="Arial" w:cs="Arial"/>
      <w:b/>
      <w:bCs/>
      <w:sz w:val="26"/>
      <w:szCs w:val="26"/>
    </w:rPr>
  </w:style>
  <w:style w:type="character" w:styleId="746" w:customStyle="1">
    <w:name w:val="Heading 5 Char"/>
    <w:basedOn w:val="739"/>
    <w:uiPriority w:val="9"/>
    <w:rPr>
      <w:rFonts w:ascii="Arial" w:hAnsi="Arial" w:eastAsia="Arial" w:cs="Arial"/>
      <w:b/>
      <w:bCs/>
      <w:sz w:val="24"/>
      <w:szCs w:val="24"/>
    </w:rPr>
  </w:style>
  <w:style w:type="character" w:styleId="747" w:customStyle="1">
    <w:name w:val="Heading 6 Char"/>
    <w:basedOn w:val="739"/>
    <w:uiPriority w:val="9"/>
    <w:rPr>
      <w:rFonts w:ascii="Arial" w:hAnsi="Arial" w:eastAsia="Arial" w:cs="Arial"/>
      <w:b/>
      <w:bCs/>
      <w:sz w:val="22"/>
      <w:szCs w:val="22"/>
    </w:rPr>
  </w:style>
  <w:style w:type="character" w:styleId="748" w:customStyle="1">
    <w:name w:val="Heading 7 Char"/>
    <w:basedOn w:val="73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9" w:customStyle="1">
    <w:name w:val="Heading 8 Char"/>
    <w:basedOn w:val="739"/>
    <w:uiPriority w:val="9"/>
    <w:rPr>
      <w:rFonts w:ascii="Arial" w:hAnsi="Arial" w:eastAsia="Arial" w:cs="Arial"/>
      <w:i/>
      <w:iCs/>
      <w:sz w:val="22"/>
      <w:szCs w:val="22"/>
    </w:rPr>
  </w:style>
  <w:style w:type="character" w:styleId="750" w:customStyle="1">
    <w:name w:val="Heading 9 Char"/>
    <w:basedOn w:val="739"/>
    <w:uiPriority w:val="9"/>
    <w:rPr>
      <w:rFonts w:ascii="Arial" w:hAnsi="Arial" w:eastAsia="Arial" w:cs="Arial"/>
      <w:i/>
      <w:iCs/>
      <w:sz w:val="21"/>
      <w:szCs w:val="21"/>
    </w:rPr>
  </w:style>
  <w:style w:type="character" w:styleId="751" w:customStyle="1">
    <w:name w:val="Title Char"/>
    <w:basedOn w:val="739"/>
    <w:uiPriority w:val="10"/>
    <w:rPr>
      <w:sz w:val="48"/>
      <w:szCs w:val="48"/>
    </w:rPr>
  </w:style>
  <w:style w:type="character" w:styleId="752" w:customStyle="1">
    <w:name w:val="Subtitle Char"/>
    <w:basedOn w:val="739"/>
    <w:uiPriority w:val="11"/>
    <w:rPr>
      <w:sz w:val="24"/>
      <w:szCs w:val="24"/>
    </w:rPr>
  </w:style>
  <w:style w:type="character" w:styleId="753" w:customStyle="1">
    <w:name w:val="Quote Char"/>
    <w:uiPriority w:val="29"/>
    <w:rPr>
      <w:i/>
    </w:rPr>
  </w:style>
  <w:style w:type="character" w:styleId="754" w:customStyle="1">
    <w:name w:val="Intense Quote Char"/>
    <w:uiPriority w:val="30"/>
    <w:rPr>
      <w:i/>
    </w:rPr>
  </w:style>
  <w:style w:type="character" w:styleId="755" w:customStyle="1">
    <w:name w:val="Header Char"/>
    <w:basedOn w:val="739"/>
    <w:uiPriority w:val="99"/>
  </w:style>
  <w:style w:type="character" w:styleId="756" w:customStyle="1">
    <w:name w:val="Caption Char"/>
    <w:uiPriority w:val="99"/>
  </w:style>
  <w:style w:type="character" w:styleId="757" w:customStyle="1">
    <w:name w:val="Footnote Text Char"/>
    <w:uiPriority w:val="99"/>
    <w:rPr>
      <w:sz w:val="18"/>
    </w:rPr>
  </w:style>
  <w:style w:type="character" w:styleId="758" w:customStyle="1">
    <w:name w:val="Endnote Text Char"/>
    <w:uiPriority w:val="99"/>
    <w:rPr>
      <w:sz w:val="20"/>
    </w:rPr>
  </w:style>
  <w:style w:type="character" w:styleId="759" w:customStyle="1">
    <w:name w:val="Заголовок 1 Знак"/>
    <w:link w:val="730"/>
    <w:uiPriority w:val="9"/>
    <w:rPr>
      <w:rFonts w:ascii="Arial" w:hAnsi="Arial" w:eastAsia="Arial" w:cs="Arial"/>
      <w:sz w:val="40"/>
      <w:szCs w:val="40"/>
    </w:rPr>
  </w:style>
  <w:style w:type="character" w:styleId="760" w:customStyle="1">
    <w:name w:val="Заголовок 2 Знак"/>
    <w:link w:val="731"/>
    <w:uiPriority w:val="9"/>
    <w:rPr>
      <w:rFonts w:ascii="Arial" w:hAnsi="Arial" w:eastAsia="Arial" w:cs="Arial"/>
      <w:sz w:val="34"/>
    </w:rPr>
  </w:style>
  <w:style w:type="character" w:styleId="761" w:customStyle="1">
    <w:name w:val="Заголовок 3 Знак"/>
    <w:link w:val="732"/>
    <w:uiPriority w:val="9"/>
    <w:rPr>
      <w:rFonts w:ascii="Arial" w:hAnsi="Arial" w:eastAsia="Arial" w:cs="Arial"/>
      <w:sz w:val="30"/>
      <w:szCs w:val="30"/>
    </w:rPr>
  </w:style>
  <w:style w:type="character" w:styleId="762" w:customStyle="1">
    <w:name w:val="Заголовок 4 Знак"/>
    <w:link w:val="733"/>
    <w:uiPriority w:val="9"/>
    <w:rPr>
      <w:rFonts w:ascii="Arial" w:hAnsi="Arial" w:eastAsia="Arial" w:cs="Arial"/>
      <w:b/>
      <w:bCs/>
      <w:sz w:val="26"/>
      <w:szCs w:val="26"/>
    </w:rPr>
  </w:style>
  <w:style w:type="character" w:styleId="763" w:customStyle="1">
    <w:name w:val="Заголовок 5 Знак"/>
    <w:link w:val="734"/>
    <w:uiPriority w:val="9"/>
    <w:rPr>
      <w:rFonts w:ascii="Arial" w:hAnsi="Arial" w:eastAsia="Arial" w:cs="Arial"/>
      <w:b/>
      <w:bCs/>
      <w:sz w:val="24"/>
      <w:szCs w:val="24"/>
    </w:rPr>
  </w:style>
  <w:style w:type="character" w:styleId="764" w:customStyle="1">
    <w:name w:val="Заголовок 6 Знак"/>
    <w:link w:val="735"/>
    <w:uiPriority w:val="9"/>
    <w:rPr>
      <w:rFonts w:ascii="Arial" w:hAnsi="Arial" w:eastAsia="Arial" w:cs="Arial"/>
      <w:b/>
      <w:bCs/>
      <w:sz w:val="22"/>
      <w:szCs w:val="22"/>
    </w:rPr>
  </w:style>
  <w:style w:type="character" w:styleId="765" w:customStyle="1">
    <w:name w:val="Заголовок 7 Знак"/>
    <w:link w:val="73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6" w:customStyle="1">
    <w:name w:val="Заголовок 8 Знак"/>
    <w:link w:val="737"/>
    <w:uiPriority w:val="9"/>
    <w:rPr>
      <w:rFonts w:ascii="Arial" w:hAnsi="Arial" w:eastAsia="Arial" w:cs="Arial"/>
      <w:i/>
      <w:iCs/>
      <w:sz w:val="22"/>
      <w:szCs w:val="22"/>
    </w:rPr>
  </w:style>
  <w:style w:type="character" w:styleId="767" w:customStyle="1">
    <w:name w:val="Заголовок 9 Знак"/>
    <w:link w:val="738"/>
    <w:uiPriority w:val="9"/>
    <w:rPr>
      <w:rFonts w:ascii="Arial" w:hAnsi="Arial" w:eastAsia="Arial" w:cs="Arial"/>
      <w:i/>
      <w:iCs/>
      <w:sz w:val="21"/>
      <w:szCs w:val="21"/>
    </w:rPr>
  </w:style>
  <w:style w:type="paragraph" w:styleId="768">
    <w:name w:val="List Paragraph"/>
    <w:basedOn w:val="729"/>
    <w:uiPriority w:val="34"/>
    <w:qFormat/>
    <w:pPr>
      <w:contextualSpacing/>
      <w:ind w:left="720"/>
    </w:pPr>
  </w:style>
  <w:style w:type="paragraph" w:styleId="769">
    <w:name w:val="No Spacing"/>
    <w:uiPriority w:val="1"/>
    <w:qFormat/>
    <w:pPr>
      <w:spacing w:after="0" w:line="240" w:lineRule="auto"/>
    </w:pPr>
  </w:style>
  <w:style w:type="character" w:styleId="770" w:customStyle="1">
    <w:name w:val="Заголовок Знак"/>
    <w:link w:val="927"/>
    <w:uiPriority w:val="10"/>
    <w:rPr>
      <w:sz w:val="48"/>
      <w:szCs w:val="48"/>
    </w:rPr>
  </w:style>
  <w:style w:type="character" w:styleId="771" w:customStyle="1">
    <w:name w:val="Подзаголовок Знак"/>
    <w:link w:val="928"/>
    <w:uiPriority w:val="11"/>
    <w:rPr>
      <w:sz w:val="24"/>
      <w:szCs w:val="24"/>
    </w:rPr>
  </w:style>
  <w:style w:type="paragraph" w:styleId="772">
    <w:name w:val="Quote"/>
    <w:basedOn w:val="729"/>
    <w:next w:val="729"/>
    <w:link w:val="773"/>
    <w:uiPriority w:val="29"/>
    <w:qFormat/>
    <w:pPr>
      <w:ind w:left="720" w:right="720"/>
    </w:pPr>
    <w:rPr>
      <w:i/>
    </w:rPr>
  </w:style>
  <w:style w:type="character" w:styleId="773" w:customStyle="1">
    <w:name w:val="Цитата 2 Знак"/>
    <w:link w:val="772"/>
    <w:uiPriority w:val="29"/>
    <w:rPr>
      <w:i/>
    </w:rPr>
  </w:style>
  <w:style w:type="paragraph" w:styleId="774">
    <w:name w:val="Intense Quote"/>
    <w:basedOn w:val="729"/>
    <w:next w:val="729"/>
    <w:link w:val="77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5" w:customStyle="1">
    <w:name w:val="Выделенная цитата Знак"/>
    <w:link w:val="774"/>
    <w:uiPriority w:val="30"/>
    <w:rPr>
      <w:i/>
    </w:rPr>
  </w:style>
  <w:style w:type="paragraph" w:styleId="776">
    <w:name w:val="Header"/>
    <w:basedOn w:val="729"/>
    <w:link w:val="77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7" w:customStyle="1">
    <w:name w:val="Верхний колонтитул Знак"/>
    <w:link w:val="776"/>
    <w:uiPriority w:val="99"/>
  </w:style>
  <w:style w:type="paragraph" w:styleId="778">
    <w:name w:val="Footer"/>
    <w:basedOn w:val="729"/>
    <w:link w:val="7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9" w:customStyle="1">
    <w:name w:val="Footer Char"/>
    <w:uiPriority w:val="99"/>
  </w:style>
  <w:style w:type="paragraph" w:styleId="780">
    <w:name w:val="Caption"/>
    <w:basedOn w:val="729"/>
    <w:next w:val="729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81" w:customStyle="1">
    <w:name w:val="Нижний колонтитул Знак"/>
    <w:link w:val="778"/>
    <w:uiPriority w:val="99"/>
  </w:style>
  <w:style w:type="table" w:styleId="782">
    <w:name w:val="Table Grid"/>
    <w:basedOn w:val="74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83" w:customStyle="1">
    <w:name w:val="Table Grid Light"/>
    <w:basedOn w:val="74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84">
    <w:name w:val="Plain Table 1"/>
    <w:basedOn w:val="74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5">
    <w:name w:val="Plain Table 2"/>
    <w:basedOn w:val="74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6">
    <w:name w:val="Plain Table 3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7">
    <w:name w:val="Plain Table 4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Plain Table 5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9">
    <w:name w:val="Grid Table 1 Light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Grid Table 1 Light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Grid Table 1 Light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Grid Table 1 Light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Grid Table 1 Light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Grid Table 1 Light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Grid Table 1 Light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Grid Table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2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2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2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2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2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2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3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3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3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3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3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3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4"/>
    <w:basedOn w:val="7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1" w:customStyle="1">
    <w:name w:val="Grid Table 4 - Accent 1"/>
    <w:basedOn w:val="7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12" w:customStyle="1">
    <w:name w:val="Grid Table 4 - Accent 2"/>
    <w:basedOn w:val="7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13" w:customStyle="1">
    <w:name w:val="Grid Table 4 - Accent 3"/>
    <w:basedOn w:val="7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14" w:customStyle="1">
    <w:name w:val="Grid Table 4 - Accent 4"/>
    <w:basedOn w:val="7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15" w:customStyle="1">
    <w:name w:val="Grid Table 4 - Accent 5"/>
    <w:basedOn w:val="7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16" w:customStyle="1">
    <w:name w:val="Grid Table 4 - Accent 6"/>
    <w:basedOn w:val="74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17">
    <w:name w:val="Grid Table 5 Dark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18" w:customStyle="1">
    <w:name w:val="Grid Table 5 Dark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19" w:customStyle="1">
    <w:name w:val="Grid Table 5 Dark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20" w:customStyle="1">
    <w:name w:val="Grid Table 5 Dark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21" w:customStyle="1">
    <w:name w:val="Grid Table 5 Dark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22" w:customStyle="1">
    <w:name w:val="Grid Table 5 Dark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23" w:customStyle="1">
    <w:name w:val="Grid Table 5 Dark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24">
    <w:name w:val="Grid Table 6 Colorful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5" w:customStyle="1">
    <w:name w:val="Grid Table 6 Colorful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26" w:customStyle="1">
    <w:name w:val="Grid Table 6 Colorful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27" w:customStyle="1">
    <w:name w:val="Grid Table 6 Colorful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28" w:customStyle="1">
    <w:name w:val="Grid Table 6 Colorful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29" w:customStyle="1">
    <w:name w:val="Grid Table 6 Colorful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0" w:customStyle="1">
    <w:name w:val="Grid Table 6 Colorful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1">
    <w:name w:val="Grid Table 7 Colorful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7 Colorful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7 Colorful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7 Colorful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7 Colorful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7 Colorful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7 Colorful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1 Light - Accent 1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1 Light - Accent 2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1 Light - Accent 3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1 Light - Accent 4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1 Light - Accent 5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1 Light - Accent 6"/>
    <w:basedOn w:val="74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46" w:customStyle="1">
    <w:name w:val="List Table 2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47" w:customStyle="1">
    <w:name w:val="List Table 2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48" w:customStyle="1">
    <w:name w:val="List Table 2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49" w:customStyle="1">
    <w:name w:val="List Table 2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50" w:customStyle="1">
    <w:name w:val="List Table 2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51" w:customStyle="1">
    <w:name w:val="List Table 2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52">
    <w:name w:val="List Table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3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3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3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3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3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3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4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4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4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4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4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4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5 Dark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7" w:customStyle="1">
    <w:name w:val="List Table 5 Dark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8" w:customStyle="1">
    <w:name w:val="List Table 5 Dark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9" w:customStyle="1">
    <w:name w:val="List Table 5 Dark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0" w:customStyle="1">
    <w:name w:val="List Table 5 Dark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1" w:customStyle="1">
    <w:name w:val="List Table 5 Dark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2" w:customStyle="1">
    <w:name w:val="List Table 5 Dark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3">
    <w:name w:val="List Table 6 Colorful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74" w:customStyle="1">
    <w:name w:val="List Table 6 Colorful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75" w:customStyle="1">
    <w:name w:val="List Table 6 Colorful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76" w:customStyle="1">
    <w:name w:val="List Table 6 Colorful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77" w:customStyle="1">
    <w:name w:val="List Table 6 Colorful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78" w:customStyle="1">
    <w:name w:val="List Table 6 Colorful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79" w:customStyle="1">
    <w:name w:val="List Table 6 Colorful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80">
    <w:name w:val="List Table 7 Colorful"/>
    <w:basedOn w:val="7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7 Colorful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st Table 7 Colorful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st Table 7 Colorful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List Table 7 Colorful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List Table 7 Colorful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List Table 7 Colorful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Lined - Accent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8" w:customStyle="1">
    <w:name w:val="Lined - Accent 1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9" w:customStyle="1">
    <w:name w:val="Lined - Accent 2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90" w:customStyle="1">
    <w:name w:val="Lined - Accent 3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91" w:customStyle="1">
    <w:name w:val="Lined - Accent 4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92" w:customStyle="1">
    <w:name w:val="Lined - Accent 5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93" w:customStyle="1">
    <w:name w:val="Lined - Accent 6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94" w:customStyle="1">
    <w:name w:val="Bordered &amp; Lined - Accent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5" w:customStyle="1">
    <w:name w:val="Bordered &amp; Lined - Accent 1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96" w:customStyle="1">
    <w:name w:val="Bordered &amp; Lined - Accent 2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97" w:customStyle="1">
    <w:name w:val="Bordered &amp; Lined - Accent 3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98" w:customStyle="1">
    <w:name w:val="Bordered &amp; Lined - Accent 4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99" w:customStyle="1">
    <w:name w:val="Bordered &amp; Lined - Accent 5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00" w:customStyle="1">
    <w:name w:val="Bordered &amp; Lined - Accent 6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01" w:customStyle="1">
    <w:name w:val="Bordered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02" w:customStyle="1">
    <w:name w:val="Bordered - Accent 1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03" w:customStyle="1">
    <w:name w:val="Bordered - Accent 2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04" w:customStyle="1">
    <w:name w:val="Bordered - Accent 3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05" w:customStyle="1">
    <w:name w:val="Bordered - Accent 4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06" w:customStyle="1">
    <w:name w:val="Bordered - Accent 5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07" w:customStyle="1">
    <w:name w:val="Bordered - Accent 6"/>
    <w:basedOn w:val="74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08">
    <w:name w:val="Hyperlink"/>
    <w:uiPriority w:val="99"/>
    <w:unhideWhenUsed/>
    <w:rPr>
      <w:color w:val="0000ff" w:themeColor="hyperlink"/>
      <w:u w:val="single"/>
    </w:rPr>
  </w:style>
  <w:style w:type="paragraph" w:styleId="909">
    <w:name w:val="footnote text"/>
    <w:basedOn w:val="729"/>
    <w:link w:val="910"/>
    <w:uiPriority w:val="99"/>
    <w:semiHidden/>
    <w:unhideWhenUsed/>
    <w:pPr>
      <w:spacing w:after="40" w:line="240" w:lineRule="auto"/>
    </w:pPr>
    <w:rPr>
      <w:sz w:val="18"/>
    </w:rPr>
  </w:style>
  <w:style w:type="character" w:styleId="910" w:customStyle="1">
    <w:name w:val="Текст сноски Знак"/>
    <w:link w:val="909"/>
    <w:uiPriority w:val="99"/>
    <w:rPr>
      <w:sz w:val="18"/>
    </w:rPr>
  </w:style>
  <w:style w:type="character" w:styleId="911">
    <w:name w:val="footnote reference"/>
    <w:uiPriority w:val="99"/>
    <w:unhideWhenUsed/>
    <w:rPr>
      <w:vertAlign w:val="superscript"/>
    </w:rPr>
  </w:style>
  <w:style w:type="paragraph" w:styleId="912">
    <w:name w:val="endnote text"/>
    <w:basedOn w:val="729"/>
    <w:link w:val="913"/>
    <w:uiPriority w:val="99"/>
    <w:semiHidden/>
    <w:unhideWhenUsed/>
    <w:pPr>
      <w:spacing w:after="0" w:line="240" w:lineRule="auto"/>
    </w:pPr>
    <w:rPr>
      <w:sz w:val="20"/>
    </w:rPr>
  </w:style>
  <w:style w:type="character" w:styleId="913" w:customStyle="1">
    <w:name w:val="Текст концевой сноски Знак"/>
    <w:link w:val="912"/>
    <w:uiPriority w:val="99"/>
    <w:rPr>
      <w:sz w:val="20"/>
    </w:rPr>
  </w:style>
  <w:style w:type="character" w:styleId="914">
    <w:name w:val="endnote reference"/>
    <w:uiPriority w:val="99"/>
    <w:semiHidden/>
    <w:unhideWhenUsed/>
    <w:rPr>
      <w:vertAlign w:val="superscript"/>
    </w:rPr>
  </w:style>
  <w:style w:type="paragraph" w:styleId="915">
    <w:name w:val="toc 1"/>
    <w:basedOn w:val="729"/>
    <w:next w:val="729"/>
    <w:uiPriority w:val="39"/>
    <w:unhideWhenUsed/>
    <w:pPr>
      <w:spacing w:after="57"/>
    </w:pPr>
  </w:style>
  <w:style w:type="paragraph" w:styleId="916">
    <w:name w:val="toc 2"/>
    <w:basedOn w:val="729"/>
    <w:next w:val="729"/>
    <w:uiPriority w:val="39"/>
    <w:unhideWhenUsed/>
    <w:pPr>
      <w:ind w:left="283"/>
      <w:spacing w:after="57"/>
    </w:pPr>
  </w:style>
  <w:style w:type="paragraph" w:styleId="917">
    <w:name w:val="toc 3"/>
    <w:basedOn w:val="729"/>
    <w:next w:val="729"/>
    <w:uiPriority w:val="39"/>
    <w:unhideWhenUsed/>
    <w:pPr>
      <w:ind w:left="567"/>
      <w:spacing w:after="57"/>
    </w:pPr>
  </w:style>
  <w:style w:type="paragraph" w:styleId="918">
    <w:name w:val="toc 4"/>
    <w:basedOn w:val="729"/>
    <w:next w:val="729"/>
    <w:uiPriority w:val="39"/>
    <w:unhideWhenUsed/>
    <w:pPr>
      <w:ind w:left="850"/>
      <w:spacing w:after="57"/>
    </w:pPr>
  </w:style>
  <w:style w:type="paragraph" w:styleId="919">
    <w:name w:val="toc 5"/>
    <w:basedOn w:val="729"/>
    <w:next w:val="729"/>
    <w:uiPriority w:val="39"/>
    <w:unhideWhenUsed/>
    <w:pPr>
      <w:ind w:left="1134"/>
      <w:spacing w:after="57"/>
    </w:pPr>
  </w:style>
  <w:style w:type="paragraph" w:styleId="920">
    <w:name w:val="toc 6"/>
    <w:basedOn w:val="729"/>
    <w:next w:val="729"/>
    <w:uiPriority w:val="39"/>
    <w:unhideWhenUsed/>
    <w:pPr>
      <w:ind w:left="1417"/>
      <w:spacing w:after="57"/>
    </w:pPr>
  </w:style>
  <w:style w:type="paragraph" w:styleId="921">
    <w:name w:val="toc 7"/>
    <w:basedOn w:val="729"/>
    <w:next w:val="729"/>
    <w:uiPriority w:val="39"/>
    <w:unhideWhenUsed/>
    <w:pPr>
      <w:ind w:left="1701"/>
      <w:spacing w:after="57"/>
    </w:pPr>
  </w:style>
  <w:style w:type="paragraph" w:styleId="922">
    <w:name w:val="toc 8"/>
    <w:basedOn w:val="729"/>
    <w:next w:val="729"/>
    <w:uiPriority w:val="39"/>
    <w:unhideWhenUsed/>
    <w:pPr>
      <w:ind w:left="1984"/>
      <w:spacing w:after="57"/>
    </w:pPr>
  </w:style>
  <w:style w:type="paragraph" w:styleId="923">
    <w:name w:val="toc 9"/>
    <w:basedOn w:val="729"/>
    <w:next w:val="729"/>
    <w:uiPriority w:val="39"/>
    <w:unhideWhenUsed/>
    <w:pPr>
      <w:ind w:left="2268"/>
      <w:spacing w:after="57"/>
    </w:pPr>
  </w:style>
  <w:style w:type="paragraph" w:styleId="924">
    <w:name w:val="TOC Heading"/>
    <w:uiPriority w:val="39"/>
    <w:unhideWhenUsed/>
  </w:style>
  <w:style w:type="paragraph" w:styleId="925">
    <w:name w:val="table of figures"/>
    <w:basedOn w:val="729"/>
    <w:next w:val="729"/>
    <w:uiPriority w:val="99"/>
    <w:unhideWhenUsed/>
    <w:pPr>
      <w:spacing w:after="0"/>
    </w:pPr>
  </w:style>
  <w:style w:type="table" w:styleId="926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27">
    <w:name w:val="Title"/>
    <w:basedOn w:val="729"/>
    <w:next w:val="729"/>
    <w:link w:val="770"/>
    <w:pPr>
      <w:spacing w:before="300"/>
    </w:pPr>
    <w:rPr>
      <w:sz w:val="48"/>
      <w:szCs w:val="48"/>
    </w:rPr>
  </w:style>
  <w:style w:type="paragraph" w:styleId="928">
    <w:name w:val="Subtitle"/>
    <w:basedOn w:val="729"/>
    <w:next w:val="729"/>
    <w:link w:val="771"/>
    <w:pPr>
      <w:spacing w:before="200"/>
    </w:pPr>
    <w:rPr>
      <w:sz w:val="24"/>
      <w:szCs w:val="24"/>
    </w:rPr>
  </w:style>
  <w:style w:type="table" w:styleId="929" w:customStyle="1">
    <w:name w:val="StGen0"/>
    <w:basedOn w:val="92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930" w:customStyle="1">
    <w:name w:val="StGen1"/>
    <w:basedOn w:val="92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931" w:customStyle="1">
    <w:name w:val="StGen2"/>
    <w:basedOn w:val="926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Relationship Id="rId12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A7427-685B-4043-9F51-28E5AD320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Орленко Наталья Николаевна</dc:creator>
  <cp:revision>5</cp:revision>
  <dcterms:created xsi:type="dcterms:W3CDTF">2026-04-24T09:43:00Z</dcterms:created>
  <dcterms:modified xsi:type="dcterms:W3CDTF">2026-04-27T03:07:52Z</dcterms:modified>
</cp:coreProperties>
</file>