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216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6192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17 июня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05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7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 засед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u w:val="single"/>
              </w:rPr>
              <w:t xml:space="preserve">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:____35_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Диденко И.</w:t>
      </w:r>
      <w:r>
        <w:rPr>
          <w:rFonts w:ascii="Times New Roman" w:hAnsi="Times New Roman" w:cs="Times New Roman"/>
          <w:sz w:val="28"/>
          <w:szCs w:val="28"/>
        </w:rPr>
        <w:t xml:space="preserve">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Любавский А.В.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Дополнить повестку заседания комитета вопросами: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8"/>
        <w:numPr>
          <w:ilvl w:val="0"/>
          <w:numId w:val="6"/>
        </w:numPr>
        <w:ind w:left="0" w:firstLine="105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согласовании передачи в безвозмездное пользование областного имущества, расположенного по адресу: г. Новосибирск, ул. Немировича-Данчен</w:t>
      </w:r>
      <w:r>
        <w:rPr>
          <w:rFonts w:ascii="Times New Roman" w:hAnsi="Times New Roman"/>
          <w:sz w:val="28"/>
          <w:szCs w:val="28"/>
        </w:rPr>
        <w:t xml:space="preserve">ко, д. 102/2, Новосибирской областной организации ветеранов (пенсионеров) профессионально-технического образования (д</w:t>
      </w:r>
      <w:r>
        <w:rPr>
          <w:rFonts w:ascii="Times New Roman" w:hAnsi="Times New Roman"/>
          <w:sz w:val="28"/>
          <w:szCs w:val="28"/>
        </w:rPr>
        <w:t xml:space="preserve">оклад: </w:t>
      </w:r>
      <w:r>
        <w:rPr>
          <w:rFonts w:ascii="Times New Roman" w:hAnsi="Times New Roman"/>
          <w:sz w:val="28"/>
          <w:szCs w:val="28"/>
        </w:rPr>
        <w:t xml:space="preserve">Савостьянов Юрий Иванович – и.о. министра образования Новосибирской области);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6"/>
        </w:numPr>
        <w:ind w:left="0" w:firstLine="105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награждении.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Об итогах социально-экономического развития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Шовтак Виталий Борисович – и.о. министра экономического раз</w:t>
      </w:r>
      <w:r>
        <w:rPr>
          <w:rFonts w:ascii="Times New Roman" w:hAnsi="Times New Roman"/>
          <w:sz w:val="28"/>
          <w:szCs w:val="28"/>
        </w:rPr>
        <w:t xml:space="preserve">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Юминов Д.Ю., Плотников В.Л.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73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Принять к сведению информацию об итогах социально-экономического развития Новосибирской области за 2025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Предложить в проект повестки дня 12</w:t>
      </w:r>
      <w:r>
        <w:rPr>
          <w:rFonts w:ascii="Times New Roman" w:hAnsi="Times New Roman" w:cs="Times New Roman"/>
          <w:sz w:val="28"/>
          <w:szCs w:val="28"/>
        </w:rPr>
        <w:t xml:space="preserve">-ой сессии Законодательного Собрания Новосибирской области включить вопрос «Об итогах социально-экономического развития Новосибирской области за 2025 год».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undefined"/>
      <w:r>
        <w:rPr>
          <w:rFonts w:ascii="Times New Roman" w:hAnsi="Times New Roman" w:cs="Times New Roman"/>
          <w:sz w:val="28"/>
          <w:szCs w:val="28"/>
        </w:rPr>
        <w:t xml:space="preserve">2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.3. Внести на рассмотрение 12-ой сессии Законодательного Собрания Новосибирской области проект пост</w:t>
      </w:r>
      <w:r>
        <w:rPr>
          <w:rFonts w:ascii="Times New Roman" w:hAnsi="Times New Roman" w:cs="Times New Roman"/>
          <w:sz w:val="28"/>
          <w:szCs w:val="28"/>
        </w:rPr>
        <w:t xml:space="preserve">ановления Законодательного Собрания Новосибирской области «Об итогах социально-экономического развития Новосибирской области за 2025 год»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Об отчете об исполнении областног</w:t>
      </w:r>
      <w:r>
        <w:rPr>
          <w:rFonts w:ascii="Times New Roman" w:hAnsi="Times New Roman"/>
          <w:b/>
          <w:sz w:val="28"/>
          <w:szCs w:val="28"/>
        </w:rPr>
        <w:t xml:space="preserve">о бюджета Новосибирской области за 2025 год и проекте закона Новосибирской области «Об исполнении областного бюджета Новосибирской области за 2025 год», первое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Васильева Татьяна Николаевна – и.о. министра финансов и налоговой политики Ново</w:t>
      </w:r>
      <w:r>
        <w:rPr>
          <w:rFonts w:ascii="Times New Roman" w:hAnsi="Times New Roman"/>
          <w:sz w:val="28"/>
          <w:szCs w:val="28"/>
        </w:rPr>
        <w:t xml:space="preserve">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Содоклад: 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Шимкив А.И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, Диденко И.В., Юминов Д.Ю., Васильева Т.Н.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3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Внести на рассмотрение 12-ой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«Об исполнении областного бюджета Новосибирской области за 2025 год»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 Рекомендовать Правительству Новосибирской о</w:t>
      </w:r>
      <w:r>
        <w:rPr>
          <w:rFonts w:ascii="Times New Roman" w:hAnsi="Times New Roman" w:cs="Times New Roman"/>
        </w:rPr>
        <w:t xml:space="preserve">бласти во взаимодействии с территориальными органами федеральных органов исполнительной власти, органами местного самоуправления Новосибирской области во исполнение перечня поручений Президента Российской Федерации от 03.01.2026 по «обелению» отдельных сек</w:t>
      </w:r>
      <w:r>
        <w:rPr>
          <w:rFonts w:ascii="Times New Roman" w:hAnsi="Times New Roman" w:cs="Times New Roman"/>
        </w:rPr>
        <w:t xml:space="preserve">торов экономики в целях развития прозрачной конкурентной деловой среды, создания комфортных условий для добросовестного ведения бизнеса, данных по итогам проведения заседания Совета по стратегическому развитию и национальным проектам от 08.12.2025: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усилить</w:t>
      </w:r>
      <w:r>
        <w:rPr>
          <w:rFonts w:ascii="Times New Roman" w:hAnsi="Times New Roman" w:cs="Times New Roman"/>
        </w:rPr>
        <w:t xml:space="preserve"> работу по повышению собираемости налогов, снижению задолженности перед бюджетами бюджетной системы Российской Федерации, государственными фондами, легализации заработной платы, борьбе с неформальной занятостью;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обеспечить снижение административных барьеро</w:t>
      </w:r>
      <w:r>
        <w:rPr>
          <w:rFonts w:ascii="Times New Roman" w:hAnsi="Times New Roman" w:cs="Times New Roman"/>
        </w:rPr>
        <w:t xml:space="preserve">в и ограничений для бизнеса, которые повышают непроизводственные издержки и создают условия для коррупции и недобросовестной конкуренции.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 Рекомендовать Правительству Новосибирской области: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3.3.1)</w:t>
      </w:r>
      <w:r>
        <w:t xml:space="preserve"> </w:t>
      </w:r>
      <w:r>
        <w:rPr>
          <w:rFonts w:ascii="Times New Roman" w:hAnsi="Times New Roman" w:cs="Times New Roman"/>
        </w:rPr>
        <w:t xml:space="preserve">в целях поддержания и развития сферы малого и среднего </w:t>
      </w:r>
      <w:r>
        <w:rPr>
          <w:rFonts w:ascii="Times New Roman" w:hAnsi="Times New Roman" w:cs="Times New Roman"/>
        </w:rPr>
        <w:t xml:space="preserve">предпринимательства в Новосибирской области в условиях сокращения темпов экономического развития, снижения прибыли прибыльных предприятий, а также усиления фискальной нагрузки: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провести анализ мер государственной поддержки субъектов малого и среднего предп</w:t>
      </w:r>
      <w:r>
        <w:rPr>
          <w:rFonts w:ascii="Times New Roman" w:hAnsi="Times New Roman" w:cs="Times New Roman"/>
        </w:rPr>
        <w:t xml:space="preserve">ринимательства в Новосибирской области для выявления наиболее востребованных направлений поддержки;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дополнительные меры, направленные на поддержку организаций Новосибирской области, осуществляющих деятельность в отраслях экономики, в которых по ито</w:t>
      </w:r>
      <w:r>
        <w:rPr>
          <w:rFonts w:ascii="Times New Roman" w:hAnsi="Times New Roman" w:cs="Times New Roman"/>
        </w:rPr>
        <w:t xml:space="preserve">гам 2025 года наблюдалось снижение объема производства;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продолжить оказание содействия выходу экспортно-ориентированных субъектов малого и среднего предпринимательства на международные рынки за счет расширения перечня инструментов поддержки, в том числе ок</w:t>
      </w:r>
      <w:r>
        <w:rPr>
          <w:rFonts w:ascii="Times New Roman" w:hAnsi="Times New Roman" w:cs="Times New Roman"/>
        </w:rPr>
        <w:t xml:space="preserve">азываемых центром поддержки экспорта Новосибирской области, взаимодействия с федеральным центром развития экспорта по вопросам логистики, доступа региональной продукции на внешние рынки;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3.3.2) в связи с существенным увеличением дефицита областного бюджета</w:t>
      </w:r>
      <w:r>
        <w:rPr>
          <w:rFonts w:ascii="Times New Roman" w:hAnsi="Times New Roman" w:cs="Times New Roman"/>
        </w:rPr>
        <w:t xml:space="preserve"> Новосибирской области, государственного внутреннего долга Новосибирской области и расходов областного бюджета Новосибирской области на его обслуживание, а также принятых Новосибирской областью долговых обязательств будущих периодов: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дополнительные</w:t>
      </w:r>
      <w:r>
        <w:rPr>
          <w:rFonts w:ascii="Times New Roman" w:hAnsi="Times New Roman" w:cs="Times New Roman"/>
        </w:rPr>
        <w:t xml:space="preserve"> меры по обеспечению сбалансированности областного бюджета Новосибирской области и оказанию содействия в обеспечении сбалансированности местных бюджетов, а также по поддержанию долговой нагрузки на безопасном уровне;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обеспечить оптимизацию расходов на госу</w:t>
      </w:r>
      <w:r>
        <w:rPr>
          <w:rFonts w:ascii="Times New Roman" w:hAnsi="Times New Roman" w:cs="Times New Roman"/>
        </w:rPr>
        <w:t xml:space="preserve">дарственное управление, в том числе за счет исключения дублирующих функций;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усилить взаимодействие с федеральными органами государственной власти в целях привлечения дополнительных финансовых ресурсов, бюджетных кредитов, а также реструктуризации задолженности перед федеральным бюджетом;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исчерпывающие меры по усилению конт</w:t>
      </w:r>
      <w:r>
        <w:rPr>
          <w:rFonts w:ascii="Times New Roman" w:hAnsi="Times New Roman" w:cs="Times New Roman"/>
        </w:rPr>
        <w:t xml:space="preserve">роля за ходом реализации инфраструктурных проектов в целях недопущения затягивания сроков проведения государственной экспертизы проектной документации, снижения качества выполняемых строительно-монтажных работ, срыва сроков сдачи в эксплуатацию объектов, ч</w:t>
      </w:r>
      <w:r>
        <w:rPr>
          <w:rFonts w:ascii="Times New Roman" w:hAnsi="Times New Roman" w:cs="Times New Roman"/>
        </w:rPr>
        <w:t xml:space="preserve">то влечет за собой удорожание реализуемых проектов и необходимость изыскания дополнительных ресурсов;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проведении работы по актуализации соглашений с использованием механизмов государственно-частного партнерства (концессий) не допускать значительного ув</w:t>
      </w:r>
      <w:r>
        <w:rPr>
          <w:rFonts w:ascii="Times New Roman" w:hAnsi="Times New Roman" w:cs="Times New Roman"/>
        </w:rPr>
        <w:t xml:space="preserve">еличения расходов и сроков создания объектов по сравнению с ранее запланированными;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3.3.3) в процессе исполнения областного бюджета Новосибирской области продолжить работу: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повышению реальных располагаемых денежных доходов населения, поддержке семей с д</w:t>
      </w:r>
      <w:r>
        <w:rPr>
          <w:rFonts w:ascii="Times New Roman" w:hAnsi="Times New Roman" w:cs="Times New Roman"/>
        </w:rPr>
        <w:t xml:space="preserve">етьми и сохранению занятости населения;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повышению качества планирования показателей государственных программ Новосибирской области, в том числе с учетом результатов их реализации в предыдущем году; 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недопущению формирования просроченной задолженности</w:t>
      </w:r>
      <w:r>
        <w:rPr>
          <w:rFonts w:ascii="Times New Roman" w:hAnsi="Times New Roman" w:cs="Times New Roman"/>
        </w:rPr>
        <w:t xml:space="preserve"> по заработной плате в Новосибирской области;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3.3.4) при формировании областного бюджета Новосибирской области на 2027 год и плановый период 2028–2029 годов учитывать риски, которые влияют на динамику основных социально-экономических показателей Новосибирс</w:t>
      </w:r>
      <w:r>
        <w:rPr>
          <w:rFonts w:ascii="Times New Roman" w:hAnsi="Times New Roman" w:cs="Times New Roman"/>
        </w:rPr>
        <w:t xml:space="preserve">кой области и величину налоговых поступлений в областной бюджет Новосибирской области.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 Рекомендовать областным исполнительным органам Новосибирской области внести изменения в порядки предоставления субсидий из областного бюджета Новосибирской области </w:t>
      </w:r>
      <w:r>
        <w:rPr>
          <w:rFonts w:ascii="Times New Roman" w:hAnsi="Times New Roman" w:cs="Times New Roman"/>
        </w:rPr>
        <w:t xml:space="preserve">муниципальным образованиям Новосибирской области, определив возможный перечень документально подтвержденных обстоятельств, повлекших недостижение результатов использования субсидий, с целью освобождения муниципальных образований Новосибирской области от пр</w:t>
      </w:r>
      <w:r>
        <w:rPr>
          <w:rFonts w:ascii="Times New Roman" w:hAnsi="Times New Roman" w:cs="Times New Roman"/>
        </w:rPr>
        <w:t xml:space="preserve">именения мер ответственности, предусмотренных постановлением Правительства Новосибирской области от 03.03.2020 № 40-п «О правилах формирования, </w:t>
      </w:r>
      <w:r>
        <w:rPr>
          <w:rFonts w:ascii="Times New Roman" w:hAnsi="Times New Roman" w:cs="Times New Roman"/>
        </w:rPr>
        <w:t xml:space="preserve">предоставления и распределения субсидий из областного бюджета Новосибирской области бюджетам муниципальных образ</w:t>
      </w:r>
      <w:r>
        <w:rPr>
          <w:rFonts w:ascii="Times New Roman" w:hAnsi="Times New Roman" w:cs="Times New Roman"/>
        </w:rPr>
        <w:t xml:space="preserve">ований Новосибирской области».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 Отметить информацию председателя Контрольно-счетной палаты Новосибирской области Гончаровой Е.А. о необходимости продолжения работы по совершенствованию бюджетного процесса в Новосибирской области и формирования инвестиц</w:t>
      </w:r>
      <w:r>
        <w:rPr>
          <w:rFonts w:ascii="Times New Roman" w:hAnsi="Times New Roman" w:cs="Times New Roman"/>
        </w:rPr>
        <w:t xml:space="preserve">ионного фонда Новосибирской области.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сводном заключении комитета Законодательного Собрания Новосибирской области по бюджетной, финансово-экономической</w:t>
      </w:r>
      <w:r>
        <w:rPr>
          <w:rFonts w:ascii="Times New Roman" w:hAnsi="Times New Roman"/>
          <w:b/>
          <w:sz w:val="28"/>
          <w:szCs w:val="28"/>
        </w:rPr>
        <w:t xml:space="preserve"> политике и собственности на отчет об исполнении областного бюджета Новосибирской области за 2025 год и проект закона Новосибирской области «Об исполнении областного бюджета Новосибирской области за 2025 год».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Согласиться с выводами, изложенными в сводном заключении комитета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по бюджетной, финансово-экономической политике и собственности на отчет об исполнении областного бюджета Новосибирской области за 2025 год и проект закона Новосибирской области «Об исполнении областного бюджета Новосибирской области за 2025 год» (прилагает</w:t>
      </w:r>
      <w:r>
        <w:rPr>
          <w:rFonts w:ascii="Times New Roman" w:hAnsi="Times New Roman" w:cs="Times New Roman"/>
          <w:sz w:val="28"/>
          <w:szCs w:val="28"/>
        </w:rPr>
        <w:t xml:space="preserve">ся).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Поручить выступить с выводами сводного заключения на 12-ой сессии Законодательного Собрания Новосибирской области Диденко Ирине Валериевне, заместителю Председателя Законодательного Собрания Новосибирской области - председателю комитета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ельного Собрания Новосибирской области по бюджетной, финансово-экономической политике и собственности.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contextualSpacing/>
        <w:ind w:right="143" w:firstLine="709"/>
        <w:jc w:val="both"/>
        <w:spacing w:after="0" w:line="240" w:lineRule="auto"/>
        <w:widowControl w:val="o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внесении изменений в статью 1 Закона Новосибирской области </w:t>
      </w:r>
      <w:r>
        <w:rPr>
          <w:rFonts w:ascii="Times New Roman" w:hAnsi="Times New Roman"/>
          <w:b/>
          <w:bCs/>
          <w:spacing w:val="-2"/>
          <w:sz w:val="28"/>
          <w:szCs w:val="28"/>
          <w:highlight w:val="white"/>
        </w:rPr>
        <w:t xml:space="preserve">«Об 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</w:t>
      </w:r>
      <w:r>
        <w:rPr>
          <w:rFonts w:ascii="Times New Roman" w:hAnsi="Times New Roman"/>
          <w:b/>
          <w:bCs/>
          <w:spacing w:val="-2"/>
          <w:sz w:val="28"/>
          <w:szCs w:val="28"/>
          <w:highlight w:val="white"/>
        </w:rPr>
        <w:t xml:space="preserve">гов»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и регулировании отдельных отношений, связанных с реализаций масштабных инвестиционных проектов на территории Новосибирской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Тимонов Дмитрий Сергеевич – первый заместитель министра строительства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</w:t>
      </w:r>
      <w:r>
        <w:rPr>
          <w:rFonts w:ascii="Times New Roman" w:hAnsi="Times New Roman"/>
          <w:sz w:val="28"/>
          <w:szCs w:val="28"/>
        </w:rPr>
        <w:t xml:space="preserve">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Принять информацию </w:t>
      </w:r>
      <w:r>
        <w:rPr>
          <w:rFonts w:ascii="Times New Roman" w:hAnsi="Times New Roman"/>
          <w:sz w:val="28"/>
          <w:szCs w:val="28"/>
        </w:rPr>
        <w:t xml:space="preserve">докладчиков</w:t>
      </w:r>
      <w:r>
        <w:rPr>
          <w:rFonts w:ascii="Times New Roman" w:hAnsi="Times New Roman" w:cs="Times New Roman"/>
          <w:sz w:val="28"/>
          <w:szCs w:val="28"/>
        </w:rPr>
        <w:t xml:space="preserve"> к сведению.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Рекомендовать комит</w:t>
      </w:r>
      <w:r>
        <w:rPr>
          <w:rFonts w:ascii="Times New Roman" w:hAnsi="Times New Roman" w:cs="Times New Roman"/>
          <w:sz w:val="28"/>
          <w:szCs w:val="28"/>
        </w:rPr>
        <w:t xml:space="preserve">ету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строительству, жилищно-коммунальному комплексу и тарифам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 внесении изменений в статью</w:t>
      </w:r>
      <w:r>
        <w:rPr>
          <w:rFonts w:ascii="Times New Roman" w:hAnsi="Times New Roman"/>
          <w:sz w:val="28"/>
          <w:szCs w:val="28"/>
        </w:rPr>
        <w:t xml:space="preserve"> 1 Закона Новосибирской области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</w:t>
      </w:r>
      <w:r>
        <w:rPr>
          <w:rFonts w:ascii="Times New Roman" w:hAnsi="Times New Roman"/>
          <w:sz w:val="28"/>
          <w:szCs w:val="28"/>
        </w:rPr>
        <w:t xml:space="preserve">стки в аренду без проведения торгов» и регулировании отдельных отношений, связанных с реализаций масштабных инвестиционных проектов на территории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для принятия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первое чтение. </w:t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Плотников Л.В., Шовтак В.Б., Машкарин Н.В., 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</w:t>
      </w:r>
      <w:r>
        <w:rPr>
          <w:rFonts w:ascii="Times New Roman" w:hAnsi="Times New Roman" w:cs="Times New Roman"/>
          <w:sz w:val="28"/>
          <w:szCs w:val="28"/>
        </w:rPr>
        <w:t xml:space="preserve">на Новосибирской области</w:t>
      </w:r>
      <w:r>
        <w:rPr>
          <w:rFonts w:ascii="Times New Roman" w:hAnsi="Times New Roman"/>
          <w:sz w:val="28"/>
          <w:szCs w:val="28"/>
        </w:rPr>
        <w:t xml:space="preserve"> «О внесении изменений в Закон Новосибирской области «Об отдельных вопросах государственного регулирования инвестиционной деятельности, осуществляемой в форме капитал</w:t>
      </w:r>
      <w:r>
        <w:rPr>
          <w:rFonts w:ascii="Times New Roman" w:hAnsi="Times New Roman"/>
          <w:sz w:val="28"/>
          <w:szCs w:val="28"/>
        </w:rPr>
        <w:t xml:space="preserve">ьных вложений на территории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 Установить срок внесения поправок в комитет по законопроекту до 24 июля 2026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Об отчете об управлении и распоряжении государственной собственностью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Диденко И.В.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Люба</w:t>
      </w:r>
      <w:r>
        <w:rPr>
          <w:rFonts w:ascii="Times New Roman" w:hAnsi="Times New Roman" w:cs="Times New Roman"/>
          <w:sz w:val="28"/>
          <w:szCs w:val="28"/>
        </w:rPr>
        <w:t xml:space="preserve">вский А.В.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 Принять к сведению информацию Шилохвостова Р.Г. – руководителя департамента имущества и земельных отношений Новосибирской области по вопросу «Об отчете об управлении и распоряжении государственной собственностью Новосибирской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за 2025 год».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7.2. Рекомендовать департаменту имущества и земельных отношений Новосибирской области: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продолжить работу по повышению эффективности управления государственной собственностью Новосибирской области, в том числе по обеспечению поступл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ений в доходную часть консолидированного бюджета Новосибирской области от использования и реализации имущества Новосибирской области, а также за счет осуществления мероприятий по определению вида фактического использования объектов недвижимости, в отношени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которых налоговая база по налогу на имущество определяется как кадастровая стоимость;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учесть замечания департамента по социально-экономическим вопросам аппарата Законодательного Собрания Новосибирской области при подготовке отчета об управлении и распо</w:t>
      </w:r>
      <w:r>
        <w:rPr>
          <w:rFonts w:ascii="Times New Roman" w:hAnsi="Times New Roman" w:cs="Times New Roman"/>
          <w:sz w:val="28"/>
          <w:szCs w:val="28"/>
        </w:rPr>
        <w:t xml:space="preserve">ряжении государственной собственностью Новосибирской области в дальнейшем.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 В соответствии с Законом Новосибирской области от 6 июля 2018 года             № 271-ОЗ «Об управлении и распоряжении государственной собственностью Новосибирской области» внес</w:t>
      </w:r>
      <w:r>
        <w:rPr>
          <w:rFonts w:ascii="Times New Roman" w:hAnsi="Times New Roman" w:cs="Times New Roman"/>
          <w:sz w:val="28"/>
          <w:szCs w:val="28"/>
        </w:rPr>
        <w:t xml:space="preserve">ти на рассмотрение сессии Законодательного Собрания Новосибирской области проект постановления «Об отчете об управлении и распоряжении государственной собственностью Новосибирской области за 2025 год».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 Рекомендовать сессии Законодательного Собрания Н</w:t>
      </w:r>
      <w:r>
        <w:rPr>
          <w:rFonts w:ascii="Times New Roman" w:hAnsi="Times New Roman" w:cs="Times New Roman"/>
          <w:sz w:val="28"/>
          <w:szCs w:val="28"/>
        </w:rPr>
        <w:t xml:space="preserve">овосибирской области принять Отчет об управлении и распоряжении государственной собственностью Новосибирской области за 2025 год к сведению.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2026–2028 годы. 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Докладывает 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ЫСТУПЛЕНИЯ:</w:t>
      </w:r>
      <w:r>
        <w:rPr>
          <w:rFonts w:ascii="Times New Roman" w:hAnsi="Times New Roman" w:cs="Times New Roman"/>
          <w:sz w:val="28"/>
          <w:szCs w:val="28"/>
        </w:rPr>
        <w:t xml:space="preserve"> Любавский А.В.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Принять к сведению информацию Шилохвостова Р.Г. – руководителя департамента имущества и земельных отношений Новосибирской области по вопросу «О проекте изменений в прогнозный план приватизации государственного имуще</w:t>
      </w:r>
      <w:r>
        <w:rPr>
          <w:rFonts w:ascii="Times New Roman" w:hAnsi="Times New Roman" w:cs="Times New Roman"/>
          <w:sz w:val="28"/>
          <w:szCs w:val="28"/>
        </w:rPr>
        <w:t xml:space="preserve">ства Новосибирской области на 2026 – 2028 годы».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 В соответствии с подпунктом 2 пункта 1 статьи 3 Закона Новосибирской области от 20 мая 2004 года № 181-ОЗ «О приватизации государственного имущества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и на основании распоряжения Правительства Новосибирской области от 9 июня 2026 года № 311-рп «О проекте изменений в прогнозный план приватизации государственного имущества Новосибирской области на 2026 – 2028 годы» внести на рассмотрение сессии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ьного Собрания Новосибирской области проект постановления сессии Законодательного Собрания Новосибирской области «О внесении изменений в постановление Законодательного Собрания Новосибирской области «О прогнозном плане приватизации государственного имущест</w:t>
      </w:r>
      <w:r>
        <w:rPr>
          <w:rFonts w:ascii="Times New Roman" w:hAnsi="Times New Roman" w:cs="Times New Roman"/>
          <w:sz w:val="28"/>
          <w:szCs w:val="28"/>
        </w:rPr>
        <w:t xml:space="preserve">ва Новосибирской области на 2026 – 2028 годы» и рекомендовать его к утверждению.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сводном годовом докладе о ходе реализации и об оценке эффективности государственных программ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</w:t>
      </w:r>
      <w:r>
        <w:rPr>
          <w:rFonts w:ascii="Times New Roman" w:hAnsi="Times New Roman"/>
          <w:sz w:val="28"/>
          <w:szCs w:val="28"/>
        </w:rPr>
        <w:t xml:space="preserve">: Шовтак Виталий Борисович – и.о.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Юминов Д.Ю.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о сводном годовом докладе о ходе реализации и об оценке эффективности государственных программ Новосибирской области за 2025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 Дополнительные вопросы: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8"/>
        <w:numPr>
          <w:ilvl w:val="0"/>
          <w:numId w:val="8"/>
        </w:numPr>
        <w:ind w:left="0" w:firstLine="1057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согласовании передачи </w:t>
      </w:r>
      <w:r>
        <w:rPr>
          <w:rFonts w:ascii="Times New Roman" w:hAnsi="Times New Roman"/>
          <w:b/>
          <w:bCs/>
          <w:sz w:val="28"/>
          <w:szCs w:val="28"/>
        </w:rPr>
        <w:t xml:space="preserve">в безвозмездное пользование областного имущества, расположенного по адресу: г. Новосибирск, ул. Немировича-Данченко, д. 102/2, Новосибирской областной организации ветеранов (пенсионеров) профессионально-технического образования.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Савостьянов Юрий Ив</w:t>
      </w:r>
      <w:r>
        <w:rPr>
          <w:rFonts w:ascii="Times New Roman" w:hAnsi="Times New Roman"/>
          <w:sz w:val="28"/>
          <w:szCs w:val="28"/>
        </w:rPr>
        <w:t xml:space="preserve">анович –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</w:t>
      </w:r>
      <w:r>
        <w:rPr>
          <w:rFonts w:ascii="Times New Roman" w:hAnsi="Times New Roman"/>
          <w:sz w:val="28"/>
          <w:szCs w:val="28"/>
        </w:rPr>
        <w:t xml:space="preserve"> министра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Любавский А.В.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Принять к сведению доклад Савостьянова Ю.И. – исполняющего обязанности министра образования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С </w:t>
      </w:r>
      <w:r>
        <w:rPr>
          <w:rFonts w:ascii="Times New Roman" w:hAnsi="Times New Roman" w:cs="Times New Roman"/>
          <w:sz w:val="28"/>
          <w:szCs w:val="28"/>
        </w:rPr>
        <w:t xml:space="preserve">учётом положительного решения комитета Законодательного Собрания Новосибирской области по культуре, образованию, науке, спорту и молодежной политике согласиться с передачей в безвозмездное пользование нежилых помещений общей площадью 27,2 кв. м., расположе</w:t>
      </w:r>
      <w:r>
        <w:rPr>
          <w:rFonts w:ascii="Times New Roman" w:hAnsi="Times New Roman" w:cs="Times New Roman"/>
          <w:sz w:val="28"/>
          <w:szCs w:val="28"/>
        </w:rPr>
        <w:t xml:space="preserve">нных по адресу: г. Новосибирск, ул. Немировича-Данченко, д. 102/2, находящихся в оперативном управлении ГБПОУ НСО «Новосибирский колледж промышленных технологий», Новосибирской областной организации ветеранов (пенсионеров) профессионально-технического обра</w:t>
      </w:r>
      <w:r>
        <w:rPr>
          <w:rFonts w:ascii="Times New Roman" w:hAnsi="Times New Roman" w:cs="Times New Roman"/>
          <w:sz w:val="28"/>
          <w:szCs w:val="28"/>
        </w:rPr>
        <w:t xml:space="preserve">зования сроком на 11 месяцев, в целях осуществления общественной деятельности.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2) О награждении.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2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 Медалью Законодательного Собрания Новосибирской области «Общественное признание» Чурс</w:t>
      </w:r>
      <w:r>
        <w:rPr>
          <w:rFonts w:ascii="Times New Roman" w:hAnsi="Times New Roman" w:cs="Times New Roman"/>
          <w:sz w:val="28"/>
          <w:szCs w:val="28"/>
        </w:rPr>
        <w:t xml:space="preserve">ина Дмитрия Александровича – главного врача ГБУЗ Новосибирской области «Купинская центральная районная больница» за многолетний добросовестный труд, высокий профессионализм и большой личный вклад в дело укрепления здоровья населения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/>
      <w:bookmarkStart w:id="1" w:name="_GoBack"/>
      <w:r/>
      <w:bookmarkEnd w:id="1"/>
      <w:r/>
      <w:r>
        <w:rPr>
          <w:rFonts w:ascii="Times New Roman" w:hAnsi="Times New Roman"/>
          <w:sz w:val="28"/>
          <w:szCs w:val="28"/>
        </w:rPr>
      </w:r>
    </w:p>
    <w:p>
      <w:pPr>
        <w:pStyle w:val="73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1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7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17 июня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5330190</wp:posOffset>
                </wp:positionH>
                <wp:positionV relativeFrom="paragraph">
                  <wp:posOffset>-163830</wp:posOffset>
                </wp:positionV>
                <wp:extent cx="1131570" cy="297180"/>
                <wp:effectExtent l="0" t="0" r="0" b="0"/>
                <wp:wrapNone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73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Проект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58240;o:allowoverlap:true;o:allowincell:true;mso-position-horizontal-relative:text;margin-left:419.70pt;mso-position-horizontal:absolute;mso-position-vertical-relative:text;margin-top:-12.90pt;mso-position-vertical:absolute;width:89.10pt;height:23.4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ind w:right="73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Проект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восьмого созыва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(двенадцатая сессия)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11"/>
        <w:gridCol w:w="1976"/>
        <w:gridCol w:w="4017"/>
        <w:gridCol w:w="106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1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4019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6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итогах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за 2025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об итогах социально-экономического развития Новосибирской области за 2025 год, Законодательное Собрание Новосибирской области отмечает следующее.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экономики и социальной сферы Новосибирской области в 2025 году по-прежн</w:t>
      </w:r>
      <w:r>
        <w:rPr>
          <w:rFonts w:ascii="Times New Roman" w:hAnsi="Times New Roman" w:cs="Times New Roman"/>
          <w:sz w:val="28"/>
          <w:szCs w:val="28"/>
        </w:rPr>
        <w:t xml:space="preserve">ему осуществлялось в условиях усиливающегося санкционного давления со стороны «недружественных» стран, значительного ограничения внешнеэкономической деятельности, ужесточения денежно-кредитной политики Центрального банка Российской Федерации. 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</w:t>
      </w:r>
      <w:r>
        <w:rPr>
          <w:rFonts w:ascii="Times New Roman" w:hAnsi="Times New Roman" w:cs="Times New Roman"/>
          <w:sz w:val="28"/>
          <w:szCs w:val="28"/>
        </w:rPr>
        <w:t xml:space="preserve">в Новосибирской области наблюдался рост по всем основным показателям экономического развития, за исключением промышленного производства (97,9%), строительства (97,7%) и оптовой торговли (92,3%). Вместе с тем по многим показателям темпы роста в реальном выр</w:t>
      </w:r>
      <w:r>
        <w:rPr>
          <w:rFonts w:ascii="Times New Roman" w:hAnsi="Times New Roman" w:cs="Times New Roman"/>
          <w:sz w:val="28"/>
          <w:szCs w:val="28"/>
        </w:rPr>
        <w:t xml:space="preserve">ажении уменьшились по сравнению с 2024 годом. 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экономику Новосибирской области в 2025 году привлечено 586 261,2 млн руб. инвестиций в основной капитал (в 2024 году – 591 735,5 млн руб.). За 2025 год по сравнению с 2024 годом индекс физического объема инв</w:t>
      </w:r>
      <w:r>
        <w:rPr>
          <w:rFonts w:ascii="Times New Roman" w:hAnsi="Times New Roman" w:cs="Times New Roman"/>
          <w:sz w:val="28"/>
          <w:szCs w:val="28"/>
        </w:rPr>
        <w:t xml:space="preserve">естиций в основной капитал составил 90,6% (за 2024 год по сравнению с 2023 годом – 137,6%). 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по показателям социального развития Новосибирской области снижение роста не произошло. По сравнению с 2024 годом позитивная динамика сложилась по таким</w:t>
      </w:r>
      <w:r>
        <w:rPr>
          <w:rFonts w:ascii="Times New Roman" w:hAnsi="Times New Roman" w:cs="Times New Roman"/>
          <w:sz w:val="28"/>
          <w:szCs w:val="28"/>
        </w:rPr>
        <w:t xml:space="preserve"> показателям, как реальные располагаемые денежные доходы населения (рост на 8,2%) и уровень безработицы (снижение на 0,1%). 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Новосибирская область, как и Российская Федерация, несмотря на сохраняющееся отрицательное влияние внешних факторов и с</w:t>
      </w:r>
      <w:r>
        <w:rPr>
          <w:rFonts w:ascii="Times New Roman" w:hAnsi="Times New Roman" w:cs="Times New Roman"/>
          <w:sz w:val="28"/>
          <w:szCs w:val="28"/>
        </w:rPr>
        <w:t xml:space="preserve">держивающих </w:t>
      </w:r>
      <w:r>
        <w:rPr>
          <w:rFonts w:ascii="Times New Roman" w:hAnsi="Times New Roman" w:cs="Times New Roman"/>
          <w:sz w:val="28"/>
          <w:szCs w:val="28"/>
        </w:rPr>
        <w:t xml:space="preserve">внутренних факторов, продолжила развитие, но более умеренными темпами по сравнению с предыдущими периодами.</w:t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sz w:val="28"/>
          <w:szCs w:val="28"/>
        </w:rPr>
      </w:r>
    </w:p>
    <w:p>
      <w:pPr>
        <w:ind w:firstLine="708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к сведению информацию об итогах социально-экономического развития Новосибирской области за 2025 год.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Отметить отсутствие в представленной информации сведений о социально-экономическом развитии Новосибирской области в территориальном разрезе (</w:t>
      </w:r>
      <w:r>
        <w:rPr>
          <w:rFonts w:ascii="Times New Roman" w:hAnsi="Times New Roman" w:cs="Times New Roman"/>
          <w:sz w:val="28"/>
          <w:szCs w:val="28"/>
        </w:rPr>
        <w:t xml:space="preserve">по городским и муниципальным округам, муниципальным районам Новосибирской области).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Рекомендовать Правительству Новосибирской области: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необходимые меры по обеспечению выполнения перечня поручений Президента Российской Федерации от 03.01.2026, да</w:t>
      </w:r>
      <w:r>
        <w:rPr>
          <w:rFonts w:ascii="Times New Roman" w:hAnsi="Times New Roman" w:cs="Times New Roman"/>
          <w:sz w:val="28"/>
          <w:szCs w:val="28"/>
        </w:rPr>
        <w:t xml:space="preserve">нных по итогам проведения заседания Совета по стратегическому развитию и национальным проектам от 08.12.2025, в части разработки и реализации комплекса мер, направленных на преодоление сложившихся негативных тенденций развития демографической ситуации;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</w:t>
      </w:r>
      <w:r>
        <w:rPr>
          <w:rFonts w:ascii="Times New Roman" w:hAnsi="Times New Roman" w:cs="Times New Roman"/>
          <w:sz w:val="28"/>
          <w:szCs w:val="28"/>
        </w:rPr>
        <w:t xml:space="preserve">должить работу по обеспечению роста экономики и инвестиционной активности на территории Новосибирской области;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разработке планово-прогнозных документов Новосибирской области уделять особое внимание необходимости снижения уровня территориальной дифферен</w:t>
      </w:r>
      <w:r>
        <w:rPr>
          <w:rFonts w:ascii="Times New Roman" w:hAnsi="Times New Roman" w:cs="Times New Roman"/>
          <w:sz w:val="28"/>
          <w:szCs w:val="28"/>
        </w:rPr>
        <w:t xml:space="preserve">циации социально-экономического развития Новосибирской области;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отчета об итогах социально-экономическом развитии Новосибирской области за 2026 год и последующие периоды обозначать проблемы, сдерживающие позитивное развитие Новосибирской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с целью их учета при постановке задач на последующие годы.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со дня его принятия.</w:t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А.И. Шимкив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2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7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17 июня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5330190</wp:posOffset>
                </wp:positionH>
                <wp:positionV relativeFrom="paragraph">
                  <wp:posOffset>-163830</wp:posOffset>
                </wp:positionV>
                <wp:extent cx="1131570" cy="297180"/>
                <wp:effectExtent l="0" t="0" r="0" b="0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73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Проект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59264;o:allowoverlap:true;o:allowincell:true;mso-position-horizontal-relative:text;margin-left:419.70pt;mso-position-horizontal:absolute;mso-position-vertical-relative:text;margin-top:-12.90pt;mso-position-vertical:absolute;width:89.10pt;height:23.4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ind w:right="73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Проект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восьмого созыва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(двенадцатая сессия)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11"/>
        <w:gridCol w:w="1976"/>
        <w:gridCol w:w="4017"/>
        <w:gridCol w:w="106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1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4019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6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закона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«Об исполнении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бюджета Новосибирской области за 2025 год»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 Принять в первом чтении проект закона Новосибирской области «Об исполнении областного бюдже</w:t>
      </w:r>
      <w:r>
        <w:rPr>
          <w:rFonts w:ascii="Times New Roman" w:hAnsi="Times New Roman" w:cs="Times New Roman"/>
        </w:rPr>
        <w:t xml:space="preserve">та Новосибирской области за 2025 год».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 Рекомендовать Правительству Новосибирской области во взаимодействии с территориальными органами федеральных органов исполнительной власти, органами местного самоуправления Новосибирской области во исполнение перечн</w:t>
      </w:r>
      <w:r>
        <w:rPr>
          <w:rFonts w:ascii="Times New Roman" w:hAnsi="Times New Roman" w:cs="Times New Roman"/>
        </w:rPr>
        <w:t xml:space="preserve">я поручений Президента Российской Федерации от 03.01.2026 по «обелению» отдельных секторов экономики в целях развития прозрачной конкурентной деловой среды, создания комфортных условий для добросовестного ведения бизнеса, данных по итогам проведения заседа</w:t>
      </w:r>
      <w:r>
        <w:rPr>
          <w:rFonts w:ascii="Times New Roman" w:hAnsi="Times New Roman" w:cs="Times New Roman"/>
        </w:rPr>
        <w:t xml:space="preserve">ния Совета по стратегическому развитию и национальным проектам от 08.12.2025: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усилить работу по повышению собираемости налогов, снижению задолженности перед бюджетами бюджетной системы Российской Федерации, государственными фондами, легализации заработной </w:t>
      </w:r>
      <w:r>
        <w:rPr>
          <w:rFonts w:ascii="Times New Roman" w:hAnsi="Times New Roman" w:cs="Times New Roman"/>
        </w:rPr>
        <w:t xml:space="preserve">платы, борьбе с неформальной занятостью;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обеспечить снижение административных барьеров и ограничений для бизнеса, которые повышают непроизводственные издержки и создают условия для коррупции и недобросовестной конкуренции.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 Рекомендовать Правительству Но</w:t>
      </w:r>
      <w:r>
        <w:rPr>
          <w:rFonts w:ascii="Times New Roman" w:hAnsi="Times New Roman" w:cs="Times New Roman"/>
        </w:rPr>
        <w:t xml:space="preserve">восибирской области: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3.1)</w:t>
      </w:r>
      <w:r>
        <w:t xml:space="preserve"> </w:t>
      </w:r>
      <w:r>
        <w:rPr>
          <w:rFonts w:ascii="Times New Roman" w:hAnsi="Times New Roman" w:cs="Times New Roman"/>
        </w:rPr>
        <w:t xml:space="preserve">в целях поддержания и развития сферы малого и среднего предпринимательства в Новосибирской области в условиях сокращения темпов </w:t>
      </w:r>
      <w:r>
        <w:rPr>
          <w:rFonts w:ascii="Times New Roman" w:hAnsi="Times New Roman" w:cs="Times New Roman"/>
        </w:rPr>
        <w:t xml:space="preserve">экономического развития, снижения прибыли прибыльных предприятий, а также усиления фискальной нагрузки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провести анализ мер государственной поддержки субъектов малого и среднего предпринимательства в Новосибирской области для выявления наиболее востребованных направлений поддержки;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дополнительные меры, направленные на поддержку организаций Новосиби</w:t>
      </w:r>
      <w:r>
        <w:rPr>
          <w:rFonts w:ascii="Times New Roman" w:hAnsi="Times New Roman" w:cs="Times New Roman"/>
        </w:rPr>
        <w:t xml:space="preserve">рской области, осуществляющих деятельность в отраслях экономики, в которых по итогам 2025 года наблюдалось снижение объема производства;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продолжить оказание содействия выходу экспортно-ориентированных субъектов малого и среднего предпринимательства на межд</w:t>
      </w:r>
      <w:r>
        <w:rPr>
          <w:rFonts w:ascii="Times New Roman" w:hAnsi="Times New Roman" w:cs="Times New Roman"/>
        </w:rPr>
        <w:t xml:space="preserve">ународные рынки за счет расширения перечня инструментов поддержки, в том числе оказываемых центром поддержки экспорта Новосибирской области, взаимодействия с федеральным центром развития экспорта по вопросам логистики, доступа региональной продукции на вне</w:t>
      </w:r>
      <w:r>
        <w:rPr>
          <w:rFonts w:ascii="Times New Roman" w:hAnsi="Times New Roman" w:cs="Times New Roman"/>
        </w:rPr>
        <w:t xml:space="preserve">шние рынки;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3.2) в связи с существенным увеличением дефицита областного бюджета Новосибирской области, государственного внутреннего долга Новосибирской области и расходов областного бюджета Новосибирской области на его обслуживание, а также принятых Новоси</w:t>
      </w:r>
      <w:r>
        <w:rPr>
          <w:rFonts w:ascii="Times New Roman" w:hAnsi="Times New Roman" w:cs="Times New Roman"/>
        </w:rPr>
        <w:t xml:space="preserve">бирской областью долговых обязательств будущих периодов: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дополнительные меры по обеспечению сбалансированности областного бюджета Новосибирской области и оказанию содействия в обеспечении сбалансированности местных бюджетов, а также по поддержанию </w:t>
      </w:r>
      <w:r>
        <w:rPr>
          <w:rFonts w:ascii="Times New Roman" w:hAnsi="Times New Roman" w:cs="Times New Roman"/>
        </w:rPr>
        <w:t xml:space="preserve">долговой нагрузки на безопасном уровне;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обеспечить оптимизацию расходов на государственное управление, в том числе за счет исключения дублирующих функций;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усилить взаимодействие с федеральными органами государственной власти в целях привлечения дополнитель</w:t>
      </w:r>
      <w:r>
        <w:rPr>
          <w:rFonts w:ascii="Times New Roman" w:hAnsi="Times New Roman" w:cs="Times New Roman"/>
        </w:rPr>
        <w:t xml:space="preserve">ных финансовых ресурсов, бюджетных кредитов, а также реструктуризации задолженности перед федеральным бюджетом;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исчерпывающие меры по усилению контроля за ходом реализации инфраструктурных проектов в целях недопущения затягивания сроков проведения </w:t>
      </w:r>
      <w:r>
        <w:rPr>
          <w:rFonts w:ascii="Times New Roman" w:hAnsi="Times New Roman" w:cs="Times New Roman"/>
        </w:rPr>
        <w:t xml:space="preserve">государственной экспертизы проектной документации, снижения качества выполняемых строительно-монтажных работ, срыва сроков сдачи в эксплуатацию объектов, что влечет за собой удорожание реализуемых проектов и необходимость изыскания дополнительных ресурсов;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проведении работы по актуализации соглашений с использованием механизмов государственно-частного партнерства (концессий) не допускать значительного увеличения расходов и сроков создания объектов по сравнению с ранее запланированными;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3.3) в процессе и</w:t>
      </w:r>
      <w:r>
        <w:rPr>
          <w:rFonts w:ascii="Times New Roman" w:hAnsi="Times New Roman" w:cs="Times New Roman"/>
        </w:rPr>
        <w:t xml:space="preserve">сполнения областного бюджета Новосибирской области продолжить работу: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повышению реальных располагаемых денежных доходов населения, поддержке семей с детьми и сохранению занятости населения;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повышению качества планирования показателей государственных </w:t>
      </w:r>
      <w:r>
        <w:rPr>
          <w:rFonts w:ascii="Times New Roman" w:hAnsi="Times New Roman" w:cs="Times New Roman"/>
        </w:rPr>
        <w:t xml:space="preserve">программ Новосибирской области, в том числе с учетом результатов их реализации в предыдущем году; 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недопущению формирования просроченной задолженности по заработной плате в Новосибирской области;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3.4) </w:t>
      </w:r>
      <w:r>
        <w:rPr>
          <w:rFonts w:ascii="Times New Roman" w:hAnsi="Times New Roman" w:cs="Times New Roman"/>
        </w:rPr>
        <w:t xml:space="preserve">при формировании областного бюджета Новосибирской области на 2027 год и плановый период 2028–2029 годов учитывать риски, которые влияют на динамику основных социально-экономических показателей Новосибирской области и величину налоговых поступлений в област</w:t>
      </w:r>
      <w:r>
        <w:rPr>
          <w:rFonts w:ascii="Times New Roman" w:hAnsi="Times New Roman" w:cs="Times New Roman"/>
        </w:rPr>
        <w:t xml:space="preserve">ной бюджет Новосибирской области.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 Рекомендовать областным исполнительным органам Новосибирской области внести изменения в порядки предоставления субсидий из областного бюджета Новосибирской области муниципальным образованиям Новосибирской области, опред</w:t>
      </w:r>
      <w:r>
        <w:rPr>
          <w:rFonts w:ascii="Times New Roman" w:hAnsi="Times New Roman" w:cs="Times New Roman"/>
        </w:rPr>
        <w:t xml:space="preserve">елив возможный перечень документально подтвержденных обстоятельств, повлекших недостижение результатов использования субсидий, с целью освобождения муниципальных образований Новосибирской области от применения мер ответственности, предусмотренных постановл</w:t>
      </w:r>
      <w:r>
        <w:rPr>
          <w:rFonts w:ascii="Times New Roman" w:hAnsi="Times New Roman" w:cs="Times New Roman"/>
        </w:rPr>
        <w:t xml:space="preserve">ением Правительства Новосибирской области от 03.03.2020 № 40-п «О правилах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области».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 Направить законопроек</w:t>
      </w:r>
      <w:r>
        <w:rPr>
          <w:rFonts w:ascii="Times New Roman" w:hAnsi="Times New Roman" w:cs="Times New Roman"/>
        </w:rPr>
        <w:t xml:space="preserve">т всем субъектам права законодательной инициативы в Законодательном Собрании Новосибирской области, предложить им внести свои поправки к проекту закона в комитет Законодательного Собрания Новосибирской области по бюджетной, финансово-экономической политике</w:t>
      </w:r>
      <w:r>
        <w:rPr>
          <w:rFonts w:ascii="Times New Roman" w:hAnsi="Times New Roman" w:cs="Times New Roman"/>
        </w:rPr>
        <w:t xml:space="preserve"> и собственности для подготовки законопроекта ко второму чтению.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 Комитету Законодательного Собрания Новосибирской области по бюджетной, финансово-экономической политике и собственности рассмотреть поступившие поправки, внести проект закона Новосибирской</w:t>
      </w:r>
      <w:r>
        <w:rPr>
          <w:rFonts w:ascii="Times New Roman" w:hAnsi="Times New Roman" w:cs="Times New Roman"/>
        </w:rPr>
        <w:t xml:space="preserve"> области «Об исполнении областного бюджета Новосибирской области за 2025 год» на рассмотрение сессии Законодательного Собрания Новосибирской области во втором чтении. </w:t>
      </w:r>
      <w:r>
        <w:rPr>
          <w:rFonts w:ascii="Times New Roman" w:hAnsi="Times New Roman" w:cs="Times New Roman"/>
        </w:rPr>
      </w:r>
    </w:p>
    <w:p>
      <w:pPr>
        <w:pStyle w:val="908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 Настоящее постановление вступает в силу с момента его принятия.</w:t>
      </w:r>
      <w:r>
        <w:rPr>
          <w:rFonts w:ascii="Times New Roman" w:hAnsi="Times New Roman" w:cs="Times New Roman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06"/>
        <w:gridCol w:w="5065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А.И. Шимкив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3 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7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17 июня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Аксенова Елена Анатольевна – заместитель министра здравоохранения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</w:t>
      </w:r>
      <w:r>
        <w:rPr>
          <w:rFonts w:ascii="Times New Roman" w:hAnsi="Times New Roman"/>
          <w:sz w:val="28"/>
          <w:szCs w:val="28"/>
        </w:rPr>
        <w:t xml:space="preserve">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</w:t>
      </w:r>
      <w:r>
        <w:rPr>
          <w:rFonts w:ascii="Times New Roman" w:hAnsi="Times New Roman"/>
          <w:sz w:val="28"/>
          <w:szCs w:val="28"/>
        </w:rPr>
        <w:t xml:space="preserve">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Васильева Татьяна Николаевна – и.о. министра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Гогашвили Надежда Агафоновна¸ представитель регионального отделения Общероссийского народного фронта;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Деев Владимир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министра культуры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Довгаль Иван Вячеславович – заместитель министра физической культуры и </w:t>
      </w:r>
      <w:r>
        <w:rPr>
          <w:rFonts w:ascii="Times New Roman" w:hAnsi="Times New Roman"/>
          <w:sz w:val="28"/>
          <w:szCs w:val="28"/>
          <w:highlight w:val="white"/>
        </w:rPr>
        <w:t xml:space="preserve">спорта Новоси</w:t>
      </w:r>
      <w:r>
        <w:rPr>
          <w:rFonts w:ascii="Times New Roman" w:hAnsi="Times New Roman"/>
          <w:sz w:val="28"/>
          <w:szCs w:val="28"/>
          <w:highlight w:val="white"/>
        </w:rPr>
        <w:t xml:space="preserve">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Клемешов Олег Петрович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Кошкина Анна Александровна – начальник отдела государственно</w:t>
      </w:r>
      <w:r>
        <w:rPr>
          <w:rFonts w:ascii="Times New Roman" w:hAnsi="Times New Roman"/>
          <w:sz w:val="28"/>
          <w:szCs w:val="28"/>
        </w:rPr>
        <w:t xml:space="preserve">го долга министерства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Курицына Елена Викторовна – начальник управления бюджетного планирования министерства финансов и налоговой политики Новосибирской области; 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Михайлов Андрей Геннадьевич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заместитель Председателя Правительства Новосибирской области – министр сельского хозяйства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Москалева Екатерина Михайловна – первый заместитель министра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</w:t>
      </w:r>
      <w:r>
        <w:rPr>
          <w:rFonts w:ascii="Times New Roman" w:hAnsi="Times New Roman"/>
          <w:sz w:val="28"/>
          <w:szCs w:val="28"/>
        </w:rPr>
        <w:t xml:space="preserve"> министр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Намжилов Цырен Цыденович, начальник управления проектной деятельности и улучшения инвестиционного климата </w:t>
      </w:r>
      <w:r>
        <w:rPr>
          <w:rFonts w:ascii="Times New Roman" w:hAnsi="Times New Roman"/>
          <w:sz w:val="28"/>
          <w:szCs w:val="28"/>
        </w:rPr>
        <w:t xml:space="preserve">министерства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Николаева Галина Александровна – начальник управления прогнозирования доходов и налоговой политики министерства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Обьедко Юрий Михайлович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 председатель Совета депутатов </w:t>
      </w:r>
      <w:r>
        <w:rPr>
          <w:rFonts w:ascii="Times New Roman" w:hAnsi="Times New Roman"/>
          <w:sz w:val="28"/>
          <w:szCs w:val="28"/>
        </w:rPr>
        <w:t xml:space="preserve">Карасукского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Савостьянов Юр</w:t>
      </w:r>
      <w:r>
        <w:rPr>
          <w:rFonts w:ascii="Times New Roman" w:hAnsi="Times New Roman"/>
          <w:sz w:val="28"/>
          <w:szCs w:val="28"/>
        </w:rPr>
        <w:t xml:space="preserve">ий Иванович – и.о. министра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Севрюженко Андрей Борисович – председатель Совета депутатов Сузунского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Селиверстова Светлана Владимировна – заместитель руководителя Управления Федеральной налоговой службы России по Но</w:t>
      </w:r>
      <w:r>
        <w:rPr>
          <w:rFonts w:ascii="Times New Roman" w:hAnsi="Times New Roman"/>
          <w:sz w:val="28"/>
          <w:szCs w:val="28"/>
        </w:rPr>
        <w:t xml:space="preserve">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Тимонов Дмитрий Сергеевич – первый заместитель министра строительства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</w:t>
      </w:r>
      <w:r>
        <w:rPr>
          <w:rFonts w:ascii="Times New Roman" w:hAnsi="Times New Roman"/>
          <w:sz w:val="28"/>
          <w:szCs w:val="28"/>
          <w:highlight w:val="white"/>
        </w:rPr>
        <w:t xml:space="preserve"> органами местного самоуправления;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Тюрин Евгений Валерьевич – и.о. министра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Швец Инта Петровна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начальник Контрольн</w:t>
      </w:r>
      <w:r>
        <w:rPr>
          <w:rFonts w:ascii="Times New Roman" w:hAnsi="Times New Roman"/>
          <w:sz w:val="28"/>
          <w:szCs w:val="28"/>
        </w:rPr>
        <w:t xml:space="preserve">ого управления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Шеманюк Юлия Сергеевна – начальник управления экономики и финансов. министерства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</w:t>
      </w:r>
      <w:r>
        <w:rPr>
          <w:rFonts w:ascii="Times New Roman" w:hAnsi="Times New Roman"/>
          <w:sz w:val="28"/>
          <w:szCs w:val="28"/>
        </w:rPr>
        <w:t xml:space="preserve">имущества и земельных отношений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–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Шовтак Виталий Борисович – и.о. министра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Шурова Жанна Сергеевна – з</w:t>
      </w:r>
      <w:r>
        <w:rPr>
          <w:rFonts w:ascii="Times New Roman" w:hAnsi="Times New Roman"/>
          <w:sz w:val="28"/>
          <w:szCs w:val="28"/>
        </w:rPr>
        <w:t xml:space="preserve">аместитель министра природных ресурсов и экологии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38"/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Якушева Наталья Викторовна – начальник управления межбюджетного регулирования министерства финансов и налоговой политики Новосибирской области.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283" w:right="707" w:bottom="964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cs="Times New Roman"/>
        <w:sz w:val="20"/>
        <w:szCs w:val="20"/>
      </w:rPr>
      <w:t xml:space="preserve">7</w:t>
    </w:r>
    <w:r>
      <w:rPr>
        <w:rFonts w:ascii="Times New Roman" w:hAnsi="Times New Roman" w:cs="Times New Roman"/>
        <w:sz w:val="20"/>
        <w:szCs w:val="20"/>
      </w:rPr>
      <w:fldChar w:fldCharType="end"/>
    </w:r>
    <w:r/>
  </w:p>
  <w:p>
    <w:pPr>
      <w:pStyle w:val="75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04">
    <w:name w:val="Heading 1"/>
    <w:basedOn w:val="703"/>
    <w:next w:val="703"/>
    <w:link w:val="897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705">
    <w:name w:val="Heading 2"/>
    <w:basedOn w:val="703"/>
    <w:next w:val="703"/>
    <w:link w:val="898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706">
    <w:name w:val="Heading 3"/>
    <w:basedOn w:val="703"/>
    <w:next w:val="703"/>
    <w:link w:val="73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3 Char"/>
    <w:basedOn w:val="713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Heading 4 Char"/>
    <w:basedOn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Heading 5 Char"/>
    <w:basedOn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6 Char"/>
    <w:basedOn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Heading 7 Char"/>
    <w:basedOn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Heading 8 Char"/>
    <w:basedOn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Heading 9 Char"/>
    <w:basedOn w:val="713"/>
    <w:uiPriority w:val="9"/>
    <w:rPr>
      <w:rFonts w:ascii="Arial" w:hAnsi="Arial" w:eastAsia="Arial" w:cs="Arial"/>
      <w:i/>
      <w:iCs/>
      <w:sz w:val="21"/>
      <w:szCs w:val="21"/>
    </w:rPr>
  </w:style>
  <w:style w:type="character" w:styleId="723" w:customStyle="1">
    <w:name w:val="Title Char"/>
    <w:basedOn w:val="713"/>
    <w:uiPriority w:val="10"/>
    <w:rPr>
      <w:sz w:val="48"/>
      <w:szCs w:val="48"/>
    </w:rPr>
  </w:style>
  <w:style w:type="character" w:styleId="724" w:customStyle="1">
    <w:name w:val="Subtitle Char"/>
    <w:basedOn w:val="713"/>
    <w:uiPriority w:val="11"/>
    <w:rPr>
      <w:sz w:val="24"/>
      <w:szCs w:val="24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Footnote Text Char"/>
    <w:uiPriority w:val="99"/>
    <w:rPr>
      <w:sz w:val="18"/>
    </w:rPr>
  </w:style>
  <w:style w:type="character" w:styleId="728" w:customStyle="1">
    <w:name w:val="Endnote Text Char"/>
    <w:uiPriority w:val="99"/>
    <w:rPr>
      <w:sz w:val="20"/>
    </w:rPr>
  </w:style>
  <w:style w:type="character" w:styleId="72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Heading 2 Char"/>
    <w:uiPriority w:val="9"/>
    <w:rPr>
      <w:rFonts w:ascii="Arial" w:hAnsi="Arial" w:eastAsia="Arial" w:cs="Arial"/>
      <w:sz w:val="34"/>
    </w:rPr>
  </w:style>
  <w:style w:type="character" w:styleId="731" w:customStyle="1">
    <w:name w:val="Заголовок 3 Знак"/>
    <w:link w:val="706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List Paragraph"/>
    <w:basedOn w:val="703"/>
    <w:uiPriority w:val="34"/>
    <w:qFormat/>
    <w:pPr>
      <w:contextualSpacing/>
      <w:ind w:left="720"/>
    </w:pPr>
  </w:style>
  <w:style w:type="paragraph" w:styleId="739">
    <w:name w:val="No Spacing"/>
    <w:uiPriority w:val="1"/>
    <w:qFormat/>
  </w:style>
  <w:style w:type="paragraph" w:styleId="740">
    <w:name w:val="Title"/>
    <w:basedOn w:val="703"/>
    <w:next w:val="703"/>
    <w:link w:val="741"/>
    <w:uiPriority w:val="10"/>
    <w:qFormat/>
    <w:pPr>
      <w:contextualSpacing/>
      <w:spacing w:before="300"/>
    </w:pPr>
    <w:rPr>
      <w:sz w:val="48"/>
      <w:szCs w:val="48"/>
    </w:rPr>
  </w:style>
  <w:style w:type="character" w:styleId="741" w:customStyle="1">
    <w:name w:val="Заголовок Знак1"/>
    <w:link w:val="740"/>
    <w:uiPriority w:val="10"/>
    <w:rPr>
      <w:sz w:val="48"/>
      <w:szCs w:val="48"/>
    </w:rPr>
  </w:style>
  <w:style w:type="paragraph" w:styleId="742">
    <w:name w:val="Subtitle"/>
    <w:basedOn w:val="703"/>
    <w:next w:val="703"/>
    <w:link w:val="743"/>
    <w:uiPriority w:val="11"/>
    <w:qFormat/>
    <w:pPr>
      <w:spacing w:before="200"/>
    </w:pPr>
    <w:rPr>
      <w:sz w:val="24"/>
      <w:szCs w:val="24"/>
    </w:rPr>
  </w:style>
  <w:style w:type="character" w:styleId="743" w:customStyle="1">
    <w:name w:val="Подзаголовок Знак"/>
    <w:link w:val="742"/>
    <w:uiPriority w:val="11"/>
    <w:rPr>
      <w:sz w:val="24"/>
      <w:szCs w:val="24"/>
    </w:rPr>
  </w:style>
  <w:style w:type="paragraph" w:styleId="744">
    <w:name w:val="Quote"/>
    <w:basedOn w:val="703"/>
    <w:next w:val="703"/>
    <w:link w:val="745"/>
    <w:uiPriority w:val="29"/>
    <w:qFormat/>
    <w:pPr>
      <w:ind w:left="720" w:right="720"/>
    </w:pPr>
    <w:rPr>
      <w:i/>
    </w:rPr>
  </w:style>
  <w:style w:type="character" w:styleId="745" w:customStyle="1">
    <w:name w:val="Цитата 2 Знак"/>
    <w:link w:val="744"/>
    <w:uiPriority w:val="29"/>
    <w:rPr>
      <w:i/>
    </w:rPr>
  </w:style>
  <w:style w:type="paragraph" w:styleId="746">
    <w:name w:val="Intense Quote"/>
    <w:basedOn w:val="703"/>
    <w:next w:val="703"/>
    <w:link w:val="74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 w:customStyle="1">
    <w:name w:val="Выделенная цитата Знак"/>
    <w:link w:val="746"/>
    <w:uiPriority w:val="30"/>
    <w:rPr>
      <w:i/>
    </w:rPr>
  </w:style>
  <w:style w:type="paragraph" w:styleId="748">
    <w:name w:val="Header"/>
    <w:basedOn w:val="703"/>
    <w:link w:val="91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9" w:customStyle="1">
    <w:name w:val="Header Char"/>
    <w:uiPriority w:val="99"/>
  </w:style>
  <w:style w:type="paragraph" w:styleId="750">
    <w:name w:val="Footer"/>
    <w:basedOn w:val="703"/>
    <w:link w:val="912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51">
    <w:name w:val="Caption"/>
    <w:basedOn w:val="703"/>
    <w:next w:val="70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2" w:customStyle="1">
    <w:name w:val="Caption Char"/>
    <w:uiPriority w:val="99"/>
  </w:style>
  <w:style w:type="table" w:styleId="753">
    <w:name w:val="Table Grid"/>
    <w:basedOn w:val="714"/>
    <w:rPr>
      <w:rFonts w:cs="Times New Roman"/>
    </w:rPr>
    <w:tblPr/>
  </w:style>
  <w:style w:type="table" w:styleId="75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9">
    <w:name w:val="Hyperlink"/>
    <w:uiPriority w:val="99"/>
    <w:unhideWhenUsed/>
    <w:rPr>
      <w:color w:val="0000ff"/>
      <w:u w:val="single"/>
    </w:rPr>
  </w:style>
  <w:style w:type="paragraph" w:styleId="880">
    <w:name w:val="footnote text"/>
    <w:basedOn w:val="703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 w:customStyle="1">
    <w:name w:val="Текст сноски Знак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703"/>
    <w:link w:val="884"/>
    <w:uiPriority w:val="99"/>
    <w:semiHidden/>
    <w:unhideWhenUsed/>
    <w:pPr>
      <w:spacing w:after="0" w:line="240" w:lineRule="auto"/>
    </w:pPr>
    <w:rPr>
      <w:sz w:val="20"/>
    </w:rPr>
  </w:style>
  <w:style w:type="character" w:styleId="884" w:customStyle="1">
    <w:name w:val="Текст концевой сноски Знак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703"/>
    <w:next w:val="703"/>
    <w:uiPriority w:val="39"/>
    <w:unhideWhenUsed/>
    <w:pPr>
      <w:spacing w:after="57"/>
    </w:pPr>
  </w:style>
  <w:style w:type="paragraph" w:styleId="887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88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89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90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91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92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93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94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95">
    <w:name w:val="TOC Heading"/>
    <w:uiPriority w:val="39"/>
    <w:unhideWhenUsed/>
  </w:style>
  <w:style w:type="paragraph" w:styleId="896">
    <w:name w:val="table of figures"/>
    <w:basedOn w:val="703"/>
    <w:next w:val="703"/>
    <w:uiPriority w:val="99"/>
    <w:unhideWhenUsed/>
    <w:pPr>
      <w:spacing w:after="0"/>
    </w:pPr>
  </w:style>
  <w:style w:type="character" w:styleId="897" w:customStyle="1">
    <w:name w:val="Заголовок 1 Знак"/>
    <w:link w:val="704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98" w:customStyle="1">
    <w:name w:val="Заголовок 2 Знак"/>
    <w:link w:val="705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99">
    <w:name w:val="Body Text"/>
    <w:basedOn w:val="703"/>
    <w:link w:val="900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900" w:customStyle="1">
    <w:name w:val="Основной текст Знак"/>
    <w:link w:val="899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01">
    <w:name w:val="Body Text 2"/>
    <w:basedOn w:val="703"/>
    <w:link w:val="902"/>
    <w:uiPriority w:val="99"/>
    <w:semiHidden/>
    <w:pPr>
      <w:spacing w:after="120" w:line="480" w:lineRule="auto"/>
    </w:pPr>
    <w:rPr>
      <w:sz w:val="20"/>
      <w:szCs w:val="20"/>
    </w:rPr>
  </w:style>
  <w:style w:type="character" w:styleId="902" w:customStyle="1">
    <w:name w:val="Основной текст 2 Знак"/>
    <w:link w:val="901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03">
    <w:name w:val="Balloon Text"/>
    <w:basedOn w:val="703"/>
    <w:link w:val="904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link w:val="903"/>
    <w:uiPriority w:val="99"/>
    <w:semiHidden/>
    <w:rPr>
      <w:rFonts w:ascii="Tahoma" w:hAnsi="Tahoma" w:cs="Tahoma"/>
      <w:sz w:val="16"/>
      <w:szCs w:val="16"/>
    </w:rPr>
  </w:style>
  <w:style w:type="paragraph" w:styleId="905" w:customStyle="1">
    <w:name w:val="Абзац списка1"/>
    <w:basedOn w:val="703"/>
    <w:uiPriority w:val="99"/>
    <w:pPr>
      <w:ind w:left="720"/>
    </w:pPr>
  </w:style>
  <w:style w:type="paragraph" w:styleId="906" w:customStyle="1">
    <w:name w:val="Название"/>
    <w:basedOn w:val="703"/>
    <w:link w:val="907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907" w:customStyle="1">
    <w:name w:val="Название Знак"/>
    <w:link w:val="906"/>
    <w:rPr>
      <w:b/>
      <w:bCs/>
      <w:sz w:val="24"/>
      <w:szCs w:val="24"/>
      <w:lang w:val="ru-RU" w:eastAsia="ru-RU"/>
    </w:rPr>
  </w:style>
  <w:style w:type="paragraph" w:styleId="908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09">
    <w:name w:val="Body Text Indent"/>
    <w:basedOn w:val="703"/>
    <w:link w:val="910"/>
    <w:uiPriority w:val="99"/>
    <w:pPr>
      <w:ind w:left="283"/>
      <w:spacing w:after="120"/>
    </w:pPr>
  </w:style>
  <w:style w:type="character" w:styleId="910" w:customStyle="1">
    <w:name w:val="Основной текст с отступом Знак"/>
    <w:link w:val="909"/>
    <w:uiPriority w:val="99"/>
    <w:semiHidden/>
    <w:rPr>
      <w:sz w:val="22"/>
      <w:szCs w:val="22"/>
    </w:rPr>
  </w:style>
  <w:style w:type="character" w:styleId="911" w:customStyle="1">
    <w:name w:val="Footer Char"/>
    <w:uiPriority w:val="99"/>
    <w:rPr>
      <w:sz w:val="28"/>
      <w:szCs w:val="28"/>
      <w:lang w:val="ru-RU" w:eastAsia="ru-RU"/>
    </w:rPr>
  </w:style>
  <w:style w:type="character" w:styleId="912" w:customStyle="1">
    <w:name w:val="Нижний колонтитул Знак"/>
    <w:link w:val="750"/>
    <w:rPr>
      <w:sz w:val="22"/>
      <w:szCs w:val="22"/>
    </w:rPr>
  </w:style>
  <w:style w:type="paragraph" w:styleId="913" w:customStyle="1">
    <w:name w:val="Абзац списка;ПАРАГРАФ;List Paragraph;Абзац списка11;Список_маркированный;Список_маркированный1"/>
    <w:basedOn w:val="703"/>
    <w:uiPriority w:val="34"/>
    <w:qFormat/>
    <w:pPr>
      <w:contextualSpacing/>
      <w:ind w:left="720"/>
    </w:pPr>
  </w:style>
  <w:style w:type="character" w:styleId="914" w:customStyle="1">
    <w:name w:val="Верхний колонтитул Знак"/>
    <w:basedOn w:val="713"/>
    <w:link w:val="748"/>
    <w:uiPriority w:val="99"/>
  </w:style>
  <w:style w:type="character" w:styleId="915">
    <w:name w:val="Strong"/>
    <w:uiPriority w:val="22"/>
    <w:qFormat/>
    <w:rPr>
      <w:b/>
      <w:bCs/>
    </w:rPr>
  </w:style>
  <w:style w:type="paragraph" w:styleId="916">
    <w:name w:val="Normal (Web)"/>
    <w:basedOn w:val="70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17" w:customStyle="1">
    <w:name w:val="Основной текст_"/>
    <w:link w:val="918"/>
    <w:rPr>
      <w:spacing w:val="-2"/>
      <w:sz w:val="25"/>
      <w:szCs w:val="25"/>
      <w:shd w:val="clear" w:color="auto" w:fill="ffffff"/>
    </w:rPr>
  </w:style>
  <w:style w:type="paragraph" w:styleId="918" w:customStyle="1">
    <w:name w:val="Основной текст1"/>
    <w:basedOn w:val="703"/>
    <w:link w:val="917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19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20" w:customStyle="1">
    <w:name w:val="Основной текст (12)_"/>
    <w:link w:val="921"/>
    <w:rPr>
      <w:spacing w:val="2"/>
      <w:shd w:val="clear" w:color="auto" w:fill="ffffff"/>
    </w:rPr>
  </w:style>
  <w:style w:type="paragraph" w:styleId="921" w:customStyle="1">
    <w:name w:val="Основной текст (12)"/>
    <w:basedOn w:val="703"/>
    <w:link w:val="920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22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23" w:customStyle="1">
    <w:name w:val="ConsPlusNormal"/>
    <w:link w:val="924"/>
    <w:pPr>
      <w:ind w:firstLine="720"/>
      <w:widowControl w:val="off"/>
    </w:pPr>
    <w:rPr>
      <w:rFonts w:ascii="Arial" w:hAnsi="Arial" w:cs="Arial"/>
      <w:lang w:eastAsia="ru-RU"/>
    </w:rPr>
  </w:style>
  <w:style w:type="character" w:styleId="924" w:customStyle="1">
    <w:name w:val="ConsPlusNormal Знак"/>
    <w:link w:val="923"/>
    <w:rPr>
      <w:rFonts w:ascii="Arial" w:hAnsi="Arial" w:cs="Arial"/>
    </w:rPr>
  </w:style>
  <w:style w:type="paragraph" w:styleId="925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</cp:revision>
  <dcterms:created xsi:type="dcterms:W3CDTF">2026-06-18T05:42:00Z</dcterms:created>
  <dcterms:modified xsi:type="dcterms:W3CDTF">2026-06-18T06:12:01Z</dcterms:modified>
  <cp:version>1048576</cp:version>
</cp:coreProperties>
</file>