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216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6192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16 сентября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26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 засед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u w:val="single"/>
              </w:rPr>
              <w:t xml:space="preserve">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:____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17_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</w:t>
      </w:r>
      <w:r>
        <w:rPr>
          <w:rFonts w:ascii="Times New Roman" w:hAnsi="Times New Roman"/>
          <w:b/>
          <w:sz w:val="28"/>
          <w:szCs w:val="28"/>
        </w:rPr>
        <w:t xml:space="preserve">ой области «Об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области», второе чтение. 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Машкарин Н. В.</w:t>
      </w:r>
      <w:r>
        <w:rPr>
          <w:rFonts w:ascii="Times New Roman" w:hAnsi="Times New Roman" w:cs="Times New Roman"/>
          <w:sz w:val="28"/>
          <w:szCs w:val="28"/>
        </w:rPr>
        <w:t xml:space="preserve">, Диденко И.В.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Новосибирской области «Об отдельных вопросах государственного регулирования инвестиционной деятельности, осуществляемой в форме капитальных вложений на территории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Любавский Андрей Валерьевич – заместитель председателя комитета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Диденко И.В., Шилохвостов Р. Г.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статью 7 Закона Новосибирской области «О развитии малого и среднего предпринимательства в Новосибирской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7 Закона Новосибирской области «О развитии малого и среднего предпринимательства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 xml:space="preserve">Установ</w:t>
      </w:r>
      <w:r>
        <w:rPr>
          <w:rFonts w:ascii="Times New Roman" w:hAnsi="Times New Roman" w:cs="Times New Roman"/>
          <w:sz w:val="28"/>
          <w:szCs w:val="28"/>
        </w:rPr>
        <w:t xml:space="preserve">ить срок внесения поправок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Об Отчете о ходе исполнения Плана мероприятий по реализации Стратегии социально-экономического развития Новосибирской области на период до 2030 года, утвержденного постановлением Правительства Новосибирской области от 31.12.2019 № 514-п, за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год. 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</w:t>
      </w:r>
      <w:r>
        <w:rPr>
          <w:rFonts w:ascii="Times New Roman" w:hAnsi="Times New Roman"/>
          <w:sz w:val="28"/>
          <w:szCs w:val="28"/>
        </w:rPr>
        <w:t xml:space="preserve">арпф Светлана Леонидовна</w:t>
      </w:r>
      <w:r>
        <w:rPr>
          <w:rFonts w:ascii="Times New Roman" w:hAnsi="Times New Roman"/>
          <w:sz w:val="28"/>
          <w:szCs w:val="28"/>
        </w:rPr>
        <w:t xml:space="preserve">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Юминов Д.Ю., </w:t>
      </w:r>
      <w:r>
        <w:rPr>
          <w:rFonts w:ascii="Times New Roman" w:hAnsi="Times New Roman" w:cs="Times New Roman"/>
          <w:sz w:val="28"/>
          <w:szCs w:val="28"/>
        </w:rPr>
        <w:t xml:space="preserve">Диденко И.В., Шарпф С.Л., Знатков В.М.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отчете о ходе исполнения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лана мероприятий по реализации Стратегии социально-экономического развития Новосибирской области на период до 2030 года за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Законом Новосибирской области от 18.12.2015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24-ОЗ «О планировании социально-экономического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азвития Новосибирской области» внести на рассмотрение сессии Законодательного Собрания Новосибирской области проект постановления «Об отчете о ходе исполнения Плана мероприятий по реализации Стратегии социально- экономического развития Новосибирской област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на период до 2030 года за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год».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Рекомендовать сессии Законодательного Собрания Новосибирской области принять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тчет о ходе исполнения Плана мероприятий по реализации Стратегии социально-экономического развития Новосибирской области на период до 2030 года за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 к сведению и согласовать предложенные комитетом рекомендации Правительству Новосибирской области.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5.4. Рекомендовать Правительству Новосибирской области создать рабочую группу с участием депутатов Законодательного Собрания Новосибирской области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 проработке проекта новой стратегии социально-экономического развития Новосибирской области на последующий период. 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2026-2028 годы.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Любавский А.В.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6.1. Принять к сведению информацию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Шилохвостова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Р.Г. – руководителя департамента имущества и земельных отношений Новосибирской области по вопросу «О проекте изменений в прогнозный план приватизации государственного имущества Новосибирской области на 2026 – 2028 годы».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6.2.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соответствии с подпунктом 2 пункта 1 статьи 3 Закона Новосибирской области от 20 мая 2004 года № 181-ОЗ «О приватизации государственного имущества Новосибирской области» и на основании распоряжения Правительства Новосибирской области от 18 августа  2026 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ода № 417-рп «О проекте изменений в прогнозный план приватизации государственного имущества Новосибирской области на 2026 – 2028 годы» внести на рассмотрение сессии Законодательного Собрания Новосибирской области проект постановления сессии Законодательног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Собрания Новосибирской области «О внесении изменений в постановление Законодательного Собрания Новосибирской области «О прогнозном плане приватизации государственного имущества Новосибирской области на 2026 – 2028 годы» и рекомендовать его к утверждению.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Следует отметить, что приватизация объектов электросетевого хозяйства осуществляется в соответствии с требованиями статьи 30.1 Федерального закона 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21.12.2001 № 178-ФЗ «О приватизации государственного и муниципального имущества», а именно объекты электросетевого хозяйства могут приватизироваться при условии их обременения обязательствами по строительству, реконструкции и (или) модернизации (инвестицио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нные обязательства), обязательствами по эксплуатации (эксплуатационные обязательства). Также в случае включения объектов электросетевого хозяйства, переданных или подлежащих передаче в безвозмездное владение и пользование системообразующим территориальным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сетевым организациям или территориальным сетевым организациям, в прогнозные планы (программы) приватизации государственного и муниципального имущества указанные организации имеют преимущественное право выкупа таких объектов.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Вместе с тем в дополнительно представленных департаментом имущест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ва и земельных отношений Новосибирской области материалах указано, что имущество, которое планируется внести в уставный капитал акционерного общества «Технопарк Новосибирского Академгородка» в настоящее время не является объектом электросетевого хозяйства.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в безвозмездное пользование областного имущества,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расположенного по адресу: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  г. Новосибирск, ул. Садовая, д. 26 и находящегося в оперативном управлении ГБПОУ НСО «Новосибирский химико-технологический колледж им. Д.И. Менделеева»;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 </w:t>
      </w:r>
      <w:r>
        <w:rPr>
          <w:rFonts w:ascii="Times New Roman" w:hAnsi="Times New Roman"/>
          <w:b/>
          <w:sz w:val="28"/>
          <w:szCs w:val="28"/>
        </w:rPr>
        <w:t xml:space="preserve">г. Новосибирск, </w:t>
      </w:r>
      <w:r>
        <w:rPr>
          <w:rFonts w:ascii="Times New Roman" w:hAnsi="Times New Roman"/>
          <w:b/>
          <w:sz w:val="28"/>
          <w:szCs w:val="28"/>
        </w:rPr>
        <w:t xml:space="preserve">ул. Сибиряков-Гвардейцев</w:t>
      </w:r>
      <w:r>
        <w:rPr>
          <w:rFonts w:ascii="Times New Roman" w:hAnsi="Times New Roman"/>
          <w:b/>
          <w:sz w:val="28"/>
          <w:szCs w:val="28"/>
        </w:rPr>
        <w:t xml:space="preserve">, д. 5</w:t>
      </w:r>
      <w:r>
        <w:rPr>
          <w:rFonts w:ascii="Times New Roman" w:hAnsi="Times New Roman"/>
          <w:b/>
          <w:sz w:val="28"/>
          <w:szCs w:val="28"/>
        </w:rPr>
        <w:t xml:space="preserve">8 и находящегося в оперативном управлении ГАПОУ НСО «Новосибирский колледж автосервиса и дорожного хозяйства»;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 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г. Новосибирск, ул. Ватутина, д. 57 и находящегося в оперативном управлении ГАПОУ НСО «Новосибирский колледж автосервиса и дорожного хозяйства»;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г. Новосибирск, проспект Дзержинского, д. 1 и находящегося в оперативном управлении ГБПОУ НСО «Новосибирский строительно-монтажный колледж».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Любавский А.В.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.1. 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Жафяровой М.Н.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министра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по вопросу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/>
          <w:bCs/>
          <w:sz w:val="28"/>
          <w:szCs w:val="28"/>
        </w:rPr>
        <w:t xml:space="preserve"> передаче областного имущества в безвозмездное пользование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 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услуг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питания обучающи</w:t>
      </w:r>
      <w:r>
        <w:rPr>
          <w:rFonts w:ascii="Times New Roman" w:hAnsi="Times New Roman" w:cs="Times New Roman"/>
          <w:sz w:val="28"/>
          <w:szCs w:val="28"/>
        </w:rPr>
        <w:t xml:space="preserve">мся и сотрудникам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</w:t>
      </w:r>
      <w:r>
        <w:rPr>
          <w:rFonts w:ascii="Times New Roman" w:hAnsi="Times New Roman" w:cs="Times New Roman"/>
          <w:sz w:val="28"/>
          <w:szCs w:val="28"/>
        </w:rPr>
        <w:t xml:space="preserve">, а также с </w:t>
      </w:r>
      <w:r>
        <w:rPr>
          <w:rFonts w:ascii="Times New Roman" w:hAnsi="Times New Roman" w:cs="Times New Roman"/>
          <w:sz w:val="28"/>
          <w:szCs w:val="28"/>
        </w:rPr>
        <w:t xml:space="preserve">учётом положительн</w:t>
      </w:r>
      <w:r>
        <w:rPr>
          <w:rFonts w:ascii="Times New Roman" w:hAnsi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комитета Законодательного Собрания Новосибирской области по культуре, образованию, науке, спорту и молодежной политике согласиться с передачей </w:t>
      </w:r>
      <w:r>
        <w:rPr>
          <w:rFonts w:ascii="Times New Roman" w:hAnsi="Times New Roman" w:cs="Times New Roman"/>
          <w:sz w:val="28"/>
          <w:szCs w:val="28"/>
        </w:rPr>
        <w:t xml:space="preserve">в безвозмездное пользование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</w:t>
      </w:r>
      <w:r>
        <w:rPr>
          <w:rFonts w:ascii="Times New Roman" w:hAnsi="Times New Roman" w:cs="Times New Roman"/>
          <w:sz w:val="28"/>
          <w:szCs w:val="28"/>
        </w:rPr>
        <w:t xml:space="preserve">жилых помещений </w:t>
      </w:r>
      <w:r>
        <w:rPr>
          <w:rFonts w:ascii="Times New Roman" w:hAnsi="Times New Roman" w:cs="Times New Roman"/>
          <w:sz w:val="28"/>
          <w:szCs w:val="28"/>
        </w:rPr>
        <w:t xml:space="preserve">общей </w:t>
      </w:r>
      <w:r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 xml:space="preserve">84</w:t>
      </w:r>
      <w:r>
        <w:rPr>
          <w:rFonts w:ascii="Times New Roman" w:hAnsi="Times New Roman" w:cs="Times New Roman"/>
          <w:sz w:val="28"/>
          <w:szCs w:val="28"/>
        </w:rPr>
        <w:t xml:space="preserve">,2 кв.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движимого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34 единиц, принадлежащих на праве оперативного </w:t>
      </w:r>
      <w:r>
        <w:rPr>
          <w:rFonts w:ascii="Times New Roman" w:hAnsi="Times New Roman" w:cs="Times New Roman"/>
          <w:sz w:val="28"/>
          <w:szCs w:val="28"/>
        </w:rPr>
        <w:t xml:space="preserve">управлени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ГБПОУ НСО «Новосибирский химико-технологический колледж </w:t>
      </w:r>
      <w:r>
        <w:rPr>
          <w:rFonts w:ascii="Times New Roman" w:hAnsi="Times New Roman" w:cs="Times New Roman"/>
          <w:sz w:val="28"/>
          <w:szCs w:val="28"/>
        </w:rPr>
        <w:t xml:space="preserve">им. Д.И. Менделеева»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расположенных в здании</w:t>
      </w:r>
      <w:r>
        <w:rPr>
          <w:rFonts w:ascii="Times New Roman" w:hAnsi="Times New Roman" w:cs="Times New Roman"/>
          <w:sz w:val="28"/>
          <w:szCs w:val="28"/>
        </w:rPr>
        <w:t xml:space="preserve"> учебного корпуса </w:t>
      </w:r>
      <w:r>
        <w:rPr>
          <w:rFonts w:ascii="Times New Roman" w:hAnsi="Times New Roman" w:cs="Times New Roman"/>
          <w:sz w:val="28"/>
          <w:szCs w:val="28"/>
        </w:rPr>
        <w:t xml:space="preserve">по адресу: г. </w:t>
      </w:r>
      <w:r>
        <w:rPr>
          <w:rFonts w:ascii="Times New Roman" w:hAnsi="Times New Roman" w:cs="Times New Roman"/>
          <w:sz w:val="28"/>
          <w:szCs w:val="28"/>
        </w:rPr>
        <w:t xml:space="preserve">Новосибирск, ул. Садовая, д. 26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обществу с ограниченной ответственностью «Комбинат «Левобережный» сроком на 10 месяце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нежилых помещений общей площадью 334,4 кв. м., расположенных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здани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учебного корпуса по адресу: г. Новосибирск, ул. Сибиряков-Гвардейцев, д. 58, находящихся в оперативном управлении ГАПОУ НСО «Новосибирский колледж автосервиса и дорожного хозяйства», </w:t>
      </w:r>
      <w:r>
        <w:rPr>
          <w:rFonts w:ascii="Times New Roman" w:hAnsi="Times New Roman" w:cs="Times New Roman"/>
          <w:sz w:val="28"/>
          <w:szCs w:val="28"/>
        </w:rPr>
        <w:t xml:space="preserve">обществу с ограниченной ответственностью «</w:t>
      </w:r>
      <w:r>
        <w:rPr>
          <w:rFonts w:ascii="Times New Roman" w:hAnsi="Times New Roman" w:cs="Times New Roman"/>
          <w:sz w:val="28"/>
          <w:szCs w:val="28"/>
        </w:rPr>
        <w:t xml:space="preserve">СБК</w:t>
      </w:r>
      <w:r>
        <w:rPr>
          <w:rFonts w:ascii="Times New Roman" w:hAnsi="Times New Roman" w:cs="Times New Roman"/>
          <w:sz w:val="28"/>
          <w:szCs w:val="28"/>
        </w:rPr>
        <w:t xml:space="preserve">» сроком на 10 месяце</w:t>
      </w:r>
      <w:r>
        <w:rPr>
          <w:rFonts w:ascii="Times New Roman" w:hAnsi="Times New Roman" w:cs="Times New Roman"/>
          <w:sz w:val="28"/>
          <w:szCs w:val="28"/>
        </w:rPr>
        <w:t xml:space="preserve">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- нежилых помещений общей площадью 570,2 кв. м. и движимого имущества в количестве 49 единиц, </w:t>
      </w:r>
      <w:r>
        <w:rPr>
          <w:rFonts w:ascii="Times New Roman" w:hAnsi="Times New Roman" w:cs="Times New Roman"/>
          <w:sz w:val="28"/>
          <w:szCs w:val="28"/>
        </w:rPr>
        <w:t xml:space="preserve">принадлежащих на праве оперативного управления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ГАПОУ НСО «Новосибирский колледж автосервиса и дорожного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по адресу: г. Новосибирск, ул. Ватутина, д. 57</w:t>
      </w:r>
      <w:r>
        <w:rPr>
          <w:rFonts w:ascii="Times New Roman" w:hAnsi="Times New Roman" w:cs="Times New Roman"/>
          <w:sz w:val="28"/>
          <w:szCs w:val="28"/>
        </w:rPr>
        <w:t xml:space="preserve">, индивидуальному предпринимателю Козыреву И.С. </w:t>
      </w:r>
      <w:r>
        <w:rPr>
          <w:rFonts w:ascii="Times New Roman" w:hAnsi="Times New Roman" w:cs="Times New Roman"/>
          <w:sz w:val="28"/>
          <w:szCs w:val="28"/>
        </w:rPr>
        <w:t xml:space="preserve">сроком на 10 месяце</w:t>
      </w:r>
      <w:r>
        <w:rPr>
          <w:rFonts w:ascii="Times New Roman" w:hAnsi="Times New Roman" w:cs="Times New Roman"/>
          <w:sz w:val="28"/>
          <w:szCs w:val="28"/>
        </w:rPr>
        <w:t xml:space="preserve">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нежилых помещений общей площадью 46,77 кв. м., расположенных в здании учебного корпуса по адресу: г. Новосиб</w:t>
      </w:r>
      <w:r>
        <w:rPr>
          <w:rFonts w:ascii="Times New Roman" w:hAnsi="Times New Roman" w:cs="Times New Roman"/>
          <w:sz w:val="28"/>
          <w:szCs w:val="28"/>
        </w:rPr>
        <w:t xml:space="preserve">ирск, проспект Дзержинского, д. 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hAnsi="Times New Roman" w:cs="Times New Roman"/>
          <w:sz w:val="28"/>
          <w:szCs w:val="28"/>
        </w:rPr>
        <w:t xml:space="preserve">принадлежащих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праве оперативного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ГБПОУ НСО «Новосибирский строительно-монтажных колледж», индивидуальному предпринимателю Козыреву И.С. </w:t>
      </w:r>
      <w:r>
        <w:rPr>
          <w:rFonts w:ascii="Times New Roman" w:hAnsi="Times New Roman" w:cs="Times New Roman"/>
          <w:sz w:val="28"/>
          <w:szCs w:val="28"/>
        </w:rPr>
        <w:t xml:space="preserve">сроком на 10 месяце</w:t>
      </w:r>
      <w:r>
        <w:rPr>
          <w:rFonts w:ascii="Times New Roman" w:hAnsi="Times New Roman" w:cs="Times New Roman"/>
          <w:sz w:val="28"/>
          <w:szCs w:val="28"/>
        </w:rPr>
        <w:t xml:space="preserve">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sz w:val="28"/>
          <w:szCs w:val="28"/>
        </w:rPr>
        <w:t xml:space="preserve">Об исполнении областного бюджета Новосибирской области за первое полугодие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года.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ЫСТУПЛЕНИЯ:</w:t>
      </w:r>
      <w:r>
        <w:rPr>
          <w:rFonts w:ascii="Times New Roman" w:hAnsi="Times New Roman" w:cs="Times New Roman"/>
          <w:sz w:val="28"/>
          <w:szCs w:val="28"/>
        </w:rPr>
        <w:t xml:space="preserve"> Диденко И.В., Любавский А.В.</w:t>
      </w:r>
      <w:r>
        <w:rPr>
          <w:rFonts w:ascii="Times New Roman" w:hAnsi="Times New Roman" w:cs="Times New Roman"/>
          <w:sz w:val="28"/>
          <w:szCs w:val="28"/>
        </w:rPr>
        <w:t xml:space="preserve">, Машкарин Н.А., Голубенко В.Ю., Кулинич А.А., Лысенко С.С.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Комитету по бюджетной, финансово-экономической политики </w:t>
      </w:r>
      <w:r>
        <w:rPr>
          <w:rFonts w:ascii="Times New Roman" w:hAnsi="Times New Roman"/>
          <w:sz w:val="28"/>
          <w:szCs w:val="28"/>
          <w:highlight w:val="white"/>
        </w:rPr>
        <w:t xml:space="preserve">и собственности </w:t>
      </w:r>
      <w:r>
        <w:rPr>
          <w:rFonts w:ascii="Times New Roman" w:hAnsi="Times New Roman"/>
          <w:sz w:val="28"/>
          <w:szCs w:val="28"/>
          <w:highlight w:val="white"/>
        </w:rPr>
        <w:t xml:space="preserve">с учетом выступлений депутатов: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 xml:space="preserve">направить обращение в министерство сельского хозяйства Новосибирской области о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предоставлении</w:t>
      </w:r>
      <w:r>
        <w:rPr>
          <w:rFonts w:ascii="Times New Roman" w:hAnsi="Times New Roman"/>
          <w:sz w:val="28"/>
          <w:szCs w:val="28"/>
          <w:highlight w:val="white"/>
        </w:rPr>
        <w:t xml:space="preserve"> информации </w:t>
      </w:r>
      <w:r>
        <w:rPr>
          <w:rFonts w:ascii="Times New Roman" w:hAnsi="Times New Roman"/>
          <w:sz w:val="28"/>
          <w:szCs w:val="28"/>
          <w:highlight w:val="white"/>
        </w:rPr>
        <w:t xml:space="preserve">об объемах бюджетных ассигнований, направленных на поддержку </w:t>
      </w:r>
      <w:r>
        <w:rPr>
          <w:rFonts w:ascii="Times New Roman" w:hAnsi="Times New Roman"/>
          <w:sz w:val="28"/>
          <w:szCs w:val="28"/>
          <w:highlight w:val="white"/>
        </w:rPr>
        <w:t xml:space="preserve">сельхозтоваропроизводителей</w:t>
      </w:r>
      <w:r>
        <w:rPr>
          <w:rFonts w:ascii="Times New Roman" w:hAnsi="Times New Roman"/>
          <w:sz w:val="28"/>
          <w:szCs w:val="28"/>
          <w:highlight w:val="white"/>
        </w:rPr>
        <w:t xml:space="preserve"> в первом полугодии 2026 года по каждому виду государственной поддержки с указанием информации о соответствии доведенных объемов их запланированным значениям и причинах отклонения;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 xml:space="preserve">направить</w:t>
      </w:r>
      <w:r>
        <w:rPr>
          <w:rFonts w:ascii="Times New Roman" w:hAnsi="Times New Roman"/>
          <w:sz w:val="28"/>
          <w:szCs w:val="28"/>
          <w:highlight w:val="white"/>
        </w:rPr>
        <w:t xml:space="preserve"> обращение в министерство здравоохранения Новосибирской области о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предоставлении</w:t>
      </w:r>
      <w:r>
        <w:rPr>
          <w:rFonts w:ascii="Times New Roman" w:hAnsi="Times New Roman"/>
          <w:sz w:val="28"/>
          <w:szCs w:val="28"/>
          <w:highlight w:val="white"/>
        </w:rPr>
        <w:t xml:space="preserve"> информации о</w:t>
      </w:r>
      <w:r>
        <w:rPr>
          <w:rFonts w:ascii="Times New Roman" w:hAnsi="Times New Roman"/>
          <w:sz w:val="28"/>
          <w:szCs w:val="28"/>
          <w:highlight w:val="white"/>
        </w:rPr>
        <w:t xml:space="preserve"> запланированных и фактических объемах финансирования и значениях целевых показателей за 2025 год и первое полугодие 2026 года по каждому государственному учреждению здравоохранения Новосибирск</w:t>
      </w:r>
      <w:r>
        <w:rPr>
          <w:rFonts w:ascii="Times New Roman" w:hAnsi="Times New Roman"/>
          <w:sz w:val="28"/>
          <w:szCs w:val="28"/>
          <w:highlight w:val="white"/>
        </w:rPr>
        <w:t xml:space="preserve">ой области, получающему средства на реализацию региональных проектов «Борьба с сердечно-сосудистыми заболеваниями» и «Борьба с онкологическими заболеваниями» и участвующему в достижении их целевых показателей, а также о причинах неполного финансирования и </w:t>
      </w:r>
      <w:r>
        <w:rPr>
          <w:rFonts w:ascii="Times New Roman" w:hAnsi="Times New Roman"/>
          <w:sz w:val="28"/>
          <w:szCs w:val="28"/>
          <w:highlight w:val="white"/>
        </w:rPr>
        <w:t xml:space="preserve">недостижения</w:t>
      </w:r>
      <w:r>
        <w:rPr>
          <w:rFonts w:ascii="Times New Roman" w:hAnsi="Times New Roman"/>
          <w:sz w:val="28"/>
          <w:szCs w:val="28"/>
          <w:highlight w:val="white"/>
        </w:rPr>
        <w:t xml:space="preserve"> плановых значений целевых показателей в соответствующих учреждениях, принимаемых для их достижения мерах (при наличии фактов неполного финансирования или </w:t>
      </w:r>
      <w:r>
        <w:rPr>
          <w:rFonts w:ascii="Times New Roman" w:hAnsi="Times New Roman"/>
          <w:sz w:val="28"/>
          <w:szCs w:val="28"/>
          <w:highlight w:val="white"/>
        </w:rPr>
        <w:t xml:space="preserve">недостижения</w:t>
      </w:r>
      <w:r>
        <w:rPr>
          <w:rFonts w:ascii="Times New Roman" w:hAnsi="Times New Roman"/>
          <w:sz w:val="28"/>
          <w:szCs w:val="28"/>
          <w:highlight w:val="white"/>
        </w:rPr>
        <w:t xml:space="preserve"> плановых значений целевых показателей).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Принять к сведению информацию об исполнении областного бюджета Новосибирской области за первое полугодие 2026 года.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</w:t>
      </w:r>
      <w:r>
        <w:rPr>
          <w:rFonts w:ascii="Times New Roman" w:hAnsi="Times New Roman"/>
          <w:b/>
          <w:sz w:val="28"/>
          <w:szCs w:val="28"/>
        </w:rPr>
        <w:t xml:space="preserve">Заключение Контрольно-счетной палаты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по результатам мониторинга деятельности органов государственной власти и местного самоуправления Новосибирской области, направленной на реализацию Указа Президента Российской Федерации от 07.05.2024 № 309, национальных и региональных проектов в 2025 году.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Мартынов Сергей Николаевич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Юминов Д.Ю.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Шарпф С.Л., Лысенко С.С., Мартынов С.Н.,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Конько С.Г.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Комитету по бюджетной, финансово-экономической политики </w:t>
      </w:r>
      <w:r>
        <w:rPr>
          <w:rFonts w:ascii="Times New Roman" w:hAnsi="Times New Roman"/>
          <w:sz w:val="28"/>
          <w:szCs w:val="28"/>
          <w:highlight w:val="white"/>
        </w:rPr>
        <w:t xml:space="preserve">и собственности </w:t>
      </w:r>
      <w:r>
        <w:rPr>
          <w:rFonts w:ascii="Times New Roman" w:hAnsi="Times New Roman"/>
          <w:sz w:val="28"/>
          <w:szCs w:val="28"/>
          <w:highlight w:val="white"/>
        </w:rPr>
        <w:t xml:space="preserve">с учетом выступлений депутатов: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20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направить обращение в министерство здравоохранения Новосибирской области о запросе информации по направлению «борьба с сердечно-сосудистыми заболеваниями» в части выпол</w:t>
      </w:r>
      <w:r>
        <w:rPr>
          <w:rFonts w:ascii="Times New Roman" w:hAnsi="Times New Roman"/>
          <w:sz w:val="28"/>
          <w:szCs w:val="28"/>
          <w:highlight w:val="white"/>
        </w:rPr>
        <w:t xml:space="preserve">нения целевых показателей, контроля расходования объема выделяемых средств областного бюджета Новосибирской области на отдаленных территориях региона.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направить обращение в министерство промышленности, торговли и развития предпринимательства Новосибирской области и в министерство науки и информационной политики Новосибирской области о причинах </w:t>
      </w:r>
      <w:r>
        <w:rPr>
          <w:rFonts w:ascii="Times New Roman" w:hAnsi="Times New Roman"/>
          <w:sz w:val="28"/>
          <w:szCs w:val="28"/>
          <w:highlight w:val="white"/>
        </w:rPr>
        <w:t xml:space="preserve">не</w:t>
      </w:r>
      <w:r>
        <w:rPr>
          <w:rFonts w:ascii="Times New Roman" w:hAnsi="Times New Roman"/>
          <w:sz w:val="28"/>
          <w:szCs w:val="28"/>
          <w:highlight w:val="white"/>
        </w:rPr>
        <w:t xml:space="preserve">участия </w:t>
      </w:r>
      <w:bookmarkStart w:id="0" w:name="undefined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  <w:highlight w:val="white"/>
        </w:rPr>
        <w:t xml:space="preserve">региона в проекте «разработка, стандартизация, и серийное производство авиационных систем и их комплектующих»</w:t>
      </w:r>
      <w:r>
        <w:rPr>
          <w:rFonts w:ascii="Times New Roman" w:hAnsi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9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направить обращение в министерство природных ресурсов и экологии Новосибирской области о реализации проекта «</w:t>
      </w:r>
      <w:r>
        <w:rPr>
          <w:rFonts w:ascii="Times New Roman" w:hAnsi="Times New Roman"/>
          <w:sz w:val="28"/>
          <w:szCs w:val="28"/>
          <w:highlight w:val="white"/>
        </w:rPr>
        <w:t xml:space="preserve">экологическое благополучие</w:t>
      </w:r>
      <w:r>
        <w:rPr>
          <w:rFonts w:ascii="Times New Roman" w:hAnsi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плановых и фактических объемах финансирования проекта, о выполнении целевых показателей, о причинах недостижения запланированных значений.</w:t>
      </w:r>
      <w:r>
        <w:rPr>
          <w:rFonts w:ascii="Times New Roman" w:hAnsi="Times New Roman"/>
          <w:sz w:val="28"/>
          <w:szCs w:val="28"/>
          <w:highlight w:val="none"/>
        </w:rPr>
        <w:t xml:space="preserve"> Полученную информацию направить в </w:t>
      </w:r>
      <w:r>
        <w:rPr>
          <w:rFonts w:ascii="Times New Roman" w:hAnsi="Times New Roman"/>
          <w:sz w:val="28"/>
          <w:szCs w:val="28"/>
          <w:highlight w:val="white"/>
        </w:rPr>
        <w:t xml:space="preserve">комиссию Законодательного Собрания Новосибирской области по экологии.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9.1. Принять к сведению информацию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Мартынова С.Н., аудитора Контрольно-счетной палаты Новосибирской области 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результатах мониторинга деятельности органов государственной власти и местного самоуправления Новосибирской области,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направленной на реализацию Указа Президента Российской Федерации от 07.05.2024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№ 309, национальных и региональных проектов в 2025 году.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9.2 Рекомендовать Правительству Новосибирской области учесть выводы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Контрольно-счетной палаты 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сделанные по результат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ам проведенного мониторинга.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 </w:t>
      </w:r>
      <w:r>
        <w:rPr>
          <w:rFonts w:ascii="Times New Roman" w:hAnsi="Times New Roman"/>
          <w:b/>
          <w:sz w:val="28"/>
          <w:szCs w:val="28"/>
        </w:rPr>
        <w:t xml:space="preserve">Заключение Контрольно-счетной палаты Новосибирской области по результатам анализа предоставления имущественных льгот за счет средств </w:t>
      </w:r>
      <w:r>
        <w:rPr>
          <w:rFonts w:ascii="Times New Roman" w:hAnsi="Times New Roman"/>
          <w:b/>
          <w:sz w:val="28"/>
          <w:szCs w:val="28"/>
        </w:rPr>
        <w:t xml:space="preserve">областного бюджета и имущества, находящегося в государственной собственности Новосибирской области, в 2024 - 2025 годах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Козлова Наталья Ивановна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Любавский А.В.</w:t>
      </w:r>
      <w:r>
        <w:rPr>
          <w:rFonts w:ascii="Times New Roman" w:hAnsi="Times New Roman" w:cs="Times New Roman"/>
          <w:sz w:val="28"/>
          <w:szCs w:val="28"/>
        </w:rPr>
        <w:t xml:space="preserve">, Диденко И.В., Плотников В.Л., Шилохвостов Р.Г., Лысенко С.С.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Козлова Н.И., Гончарова Е.А.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Комитету по бюджетной, финансово-э</w:t>
      </w:r>
      <w:r>
        <w:rPr>
          <w:rFonts w:ascii="Times New Roman" w:hAnsi="Times New Roman"/>
          <w:sz w:val="28"/>
          <w:szCs w:val="28"/>
          <w:highlight w:val="white"/>
        </w:rPr>
        <w:t xml:space="preserve">кономической политики </w:t>
      </w:r>
      <w:r>
        <w:rPr>
          <w:rFonts w:ascii="Times New Roman" w:hAnsi="Times New Roman"/>
          <w:sz w:val="28"/>
          <w:szCs w:val="28"/>
          <w:highlight w:val="white"/>
        </w:rPr>
        <w:t xml:space="preserve">и собственности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направить обращение в министерство труда и социального развития Новосибирской области и в департамент имущества и земельных отношений Новосибирской области о направлении кандидатуры Плотникова В.Л., члена комитета для участия в</w:t>
      </w:r>
      <w:r>
        <w:rPr>
          <w:rFonts w:ascii="Times New Roman" w:hAnsi="Times New Roman"/>
          <w:sz w:val="28"/>
          <w:szCs w:val="28"/>
          <w:highlight w:val="white"/>
        </w:rPr>
        <w:t xml:space="preserve"> рассмотрении вопросов выделения земельных участков для ведения садоводства или огородничества отдельным категориям граждан (военнослужащим).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 xml:space="preserve">к сведению 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</w:rPr>
        <w:t xml:space="preserve">Козловой Н.И. – аудитора </w:t>
      </w:r>
      <w:r>
        <w:rPr>
          <w:rFonts w:ascii="Times New Roman" w:hAnsi="Times New Roman" w:cs="Times New Roman"/>
          <w:sz w:val="28"/>
          <w:szCs w:val="28"/>
        </w:rPr>
        <w:t xml:space="preserve">Контроль</w:t>
      </w:r>
      <w:r>
        <w:rPr>
          <w:rFonts w:ascii="Times New Roman" w:hAnsi="Times New Roman" w:cs="Times New Roman"/>
          <w:sz w:val="28"/>
          <w:szCs w:val="28"/>
        </w:rPr>
        <w:t xml:space="preserve">но</w:t>
      </w:r>
      <w:r>
        <w:rPr>
          <w:rFonts w:ascii="Times New Roman" w:hAnsi="Times New Roman" w:cs="Times New Roman"/>
          <w:sz w:val="28"/>
          <w:szCs w:val="28"/>
        </w:rPr>
        <w:t xml:space="preserve">-счетно</w:t>
      </w:r>
      <w:r>
        <w:rPr>
          <w:rFonts w:ascii="Times New Roman" w:hAnsi="Times New Roman" w:cs="Times New Roman"/>
          <w:sz w:val="28"/>
          <w:szCs w:val="28"/>
        </w:rPr>
        <w:t xml:space="preserve">й палаты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имущества и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947"/>
          <w:rFonts w:ascii="Times New Roman" w:hAnsi="Times New Roman"/>
          <w:color w:val="000000"/>
          <w:sz w:val="28"/>
          <w:szCs w:val="28"/>
        </w:rPr>
        <w:t xml:space="preserve">учесть замечания Контрольно-счетной палаты Новосибирской области в дальнейшей работе</w:t>
      </w:r>
      <w:r>
        <w:rPr>
          <w:rStyle w:val="947"/>
          <w:rFonts w:ascii="Times New Roman" w:hAnsi="Times New Roman"/>
          <w:color w:val="000000"/>
          <w:sz w:val="28"/>
          <w:szCs w:val="28"/>
        </w:rPr>
        <w:t xml:space="preserve">, в том числе при подготовке Отчета </w:t>
      </w:r>
      <w:r>
        <w:rPr>
          <w:rFonts w:ascii="Times New Roman" w:hAnsi="Times New Roman" w:cs="Times New Roman"/>
          <w:sz w:val="28"/>
          <w:szCs w:val="28"/>
        </w:rPr>
        <w:t xml:space="preserve">об управлении и распоряжении государственной собственностью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за 2026 год;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усилить контроль за </w:t>
      </w:r>
      <w:r>
        <w:rPr>
          <w:rFonts w:ascii="Times New Roman" w:hAnsi="Times New Roman" w:cs="Times New Roman"/>
          <w:sz w:val="28"/>
          <w:szCs w:val="28"/>
        </w:rPr>
        <w:t xml:space="preserve">своевременным </w:t>
      </w:r>
      <w:r>
        <w:rPr>
          <w:rFonts w:ascii="Times New Roman" w:hAnsi="Times New Roman" w:cs="Times New Roman"/>
          <w:sz w:val="28"/>
          <w:szCs w:val="28"/>
        </w:rPr>
        <w:t xml:space="preserve">исполнением п. 23 Порядка </w:t>
      </w:r>
      <w:r>
        <w:rPr>
          <w:rFonts w:ascii="Times New Roman" w:hAnsi="Times New Roman" w:cs="Times New Roman"/>
          <w:sz w:val="28"/>
          <w:szCs w:val="28"/>
        </w:rPr>
        <w:t xml:space="preserve">учета областного имущества и ведения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 принятии ре</w:t>
      </w:r>
      <w:r>
        <w:rPr>
          <w:rFonts w:ascii="Times New Roman" w:hAnsi="Times New Roman" w:cs="Times New Roman"/>
          <w:sz w:val="28"/>
          <w:szCs w:val="28"/>
        </w:rPr>
        <w:t xml:space="preserve">шений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Реестр имущества Новосибирской области об исключении либо </w:t>
      </w:r>
      <w:r>
        <w:rPr>
          <w:rFonts w:ascii="Times New Roman" w:hAnsi="Times New Roman" w:cs="Times New Roman"/>
          <w:sz w:val="28"/>
          <w:szCs w:val="28"/>
        </w:rPr>
        <w:t xml:space="preserve">изменении сведений об объектах</w:t>
      </w:r>
      <w:r>
        <w:rPr>
          <w:rFonts w:ascii="Times New Roman" w:hAnsi="Times New Roman" w:cs="Times New Roman"/>
          <w:sz w:val="28"/>
          <w:szCs w:val="28"/>
        </w:rPr>
        <w:t xml:space="preserve"> учета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 О награждении.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4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Волкова Евгения Василье</w:t>
      </w:r>
      <w:r>
        <w:rPr>
          <w:rFonts w:ascii="Times New Roman" w:hAnsi="Times New Roman" w:cs="Times New Roman"/>
          <w:sz w:val="28"/>
          <w:szCs w:val="28"/>
        </w:rPr>
        <w:t xml:space="preserve">вича – </w:t>
      </w:r>
      <w:r>
        <w:rPr>
          <w:rFonts w:ascii="Times New Roman" w:hAnsi="Times New Roman" w:cs="Times New Roman"/>
          <w:sz w:val="28"/>
          <w:szCs w:val="28"/>
        </w:rPr>
        <w:t xml:space="preserve">директора МКУ г. Новосибирска «Первомайское</w:t>
      </w:r>
      <w:r>
        <w:rPr>
          <w:rFonts w:ascii="Times New Roman" w:hAnsi="Times New Roman" w:cs="Times New Roman"/>
          <w:sz w:val="28"/>
          <w:szCs w:val="28"/>
        </w:rPr>
        <w:t xml:space="preserve">» за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мастерство, </w:t>
      </w:r>
      <w:r>
        <w:rPr>
          <w:rFonts w:ascii="Times New Roman" w:hAnsi="Times New Roman" w:cs="Times New Roman"/>
          <w:sz w:val="28"/>
          <w:szCs w:val="28"/>
        </w:rPr>
        <w:t xml:space="preserve">большой вклад в</w:t>
      </w:r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социально-экономическое развитие Первомайского района г. Новосибирска и активную общественную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9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16 сентября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Александрова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Дарья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заместитель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начальника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</w:t>
      </w:r>
      <w:r>
        <w:rPr>
          <w:rFonts w:ascii="Times New Roman" w:hAnsi="Times New Roman"/>
          <w:sz w:val="28"/>
          <w:szCs w:val="28"/>
        </w:rPr>
        <w:t xml:space="preserve">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Голубе</w:t>
      </w:r>
      <w:r>
        <w:rPr>
          <w:rFonts w:ascii="Times New Roman" w:hAnsi="Times New Roman"/>
          <w:sz w:val="28"/>
          <w:szCs w:val="28"/>
          <w:highlight w:val="white"/>
        </w:rPr>
        <w:t xml:space="preserve">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Жафярова Мария Наильевна 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</w:t>
      </w:r>
      <w:r>
        <w:rPr>
          <w:rFonts w:ascii="Times New Roman" w:hAnsi="Times New Roman"/>
          <w:sz w:val="28"/>
          <w:szCs w:val="28"/>
        </w:rPr>
        <w:t xml:space="preserve">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Козлова Наталья Ивановна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Лысенко Станислав Сергеевич, член комитета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по социальной политике, здравоохранению, охране труда и занятости населения;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Рягузов Денис Евгеньевич – и.о.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Сурнина Юлия Сергеевна, депутат города Новосибирска;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Толстых Вячеслав Леонидович – старший помощник прокурора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Шарпф Светлана Леонидовна – министр экономического развития Новосибирс</w:t>
      </w:r>
      <w:r>
        <w:rPr>
          <w:rFonts w:ascii="Times New Roman" w:hAnsi="Times New Roman"/>
          <w:sz w:val="28"/>
          <w:szCs w:val="28"/>
          <w:highlight w:val="white"/>
        </w:rPr>
        <w:t xml:space="preserve">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283" w:right="707" w:bottom="964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cs="Times New Roman"/>
        <w:sz w:val="20"/>
        <w:szCs w:val="20"/>
      </w:rPr>
      <w:t xml:space="preserve">7</w:t>
    </w:r>
    <w:r>
      <w:rPr>
        <w:rFonts w:ascii="Times New Roman" w:hAnsi="Times New Roman" w:cs="Times New Roman"/>
        <w:sz w:val="20"/>
        <w:szCs w:val="20"/>
      </w:rPr>
      <w:fldChar w:fldCharType="end"/>
    </w:r>
    <w:r/>
  </w:p>
  <w:p>
    <w:pPr>
      <w:pStyle w:val="77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9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25">
    <w:name w:val="Heading 1"/>
    <w:basedOn w:val="724"/>
    <w:next w:val="724"/>
    <w:link w:val="918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726">
    <w:name w:val="Heading 2"/>
    <w:basedOn w:val="724"/>
    <w:next w:val="724"/>
    <w:link w:val="919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727">
    <w:name w:val="Heading 3"/>
    <w:basedOn w:val="724"/>
    <w:next w:val="724"/>
    <w:link w:val="75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8">
    <w:name w:val="Heading 4"/>
    <w:basedOn w:val="724"/>
    <w:next w:val="724"/>
    <w:link w:val="75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724"/>
    <w:next w:val="724"/>
    <w:link w:val="75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0">
    <w:name w:val="Heading 6"/>
    <w:basedOn w:val="724"/>
    <w:next w:val="724"/>
    <w:link w:val="75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31">
    <w:name w:val="Heading 7"/>
    <w:basedOn w:val="724"/>
    <w:next w:val="724"/>
    <w:link w:val="75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2">
    <w:name w:val="Heading 8"/>
    <w:basedOn w:val="724"/>
    <w:next w:val="724"/>
    <w:link w:val="75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3">
    <w:name w:val="Heading 9"/>
    <w:basedOn w:val="724"/>
    <w:next w:val="724"/>
    <w:link w:val="75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 w:default="1">
    <w:name w:val="Default Paragraph Font"/>
    <w:uiPriority w:val="1"/>
    <w:semiHidden/>
    <w:unhideWhenUsed/>
  </w:style>
  <w:style w:type="table" w:styleId="7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6" w:default="1">
    <w:name w:val="No List"/>
    <w:uiPriority w:val="99"/>
    <w:semiHidden/>
    <w:unhideWhenUsed/>
  </w:style>
  <w:style w:type="character" w:styleId="737" w:customStyle="1">
    <w:name w:val="Heading 3 Char"/>
    <w:basedOn w:val="734"/>
    <w:uiPriority w:val="9"/>
    <w:rPr>
      <w:rFonts w:ascii="Arial" w:hAnsi="Arial" w:eastAsia="Arial" w:cs="Arial"/>
      <w:sz w:val="30"/>
      <w:szCs w:val="30"/>
    </w:rPr>
  </w:style>
  <w:style w:type="character" w:styleId="738" w:customStyle="1">
    <w:name w:val="Heading 4 Char"/>
    <w:basedOn w:val="734"/>
    <w:uiPriority w:val="9"/>
    <w:rPr>
      <w:rFonts w:ascii="Arial" w:hAnsi="Arial" w:eastAsia="Arial" w:cs="Arial"/>
      <w:b/>
      <w:bCs/>
      <w:sz w:val="26"/>
      <w:szCs w:val="26"/>
    </w:rPr>
  </w:style>
  <w:style w:type="character" w:styleId="739" w:customStyle="1">
    <w:name w:val="Heading 5 Char"/>
    <w:basedOn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740" w:customStyle="1">
    <w:name w:val="Heading 6 Char"/>
    <w:basedOn w:val="734"/>
    <w:uiPriority w:val="9"/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Heading 7 Char"/>
    <w:basedOn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2" w:customStyle="1">
    <w:name w:val="Heading 8 Char"/>
    <w:basedOn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43" w:customStyle="1">
    <w:name w:val="Heading 9 Char"/>
    <w:basedOn w:val="734"/>
    <w:uiPriority w:val="9"/>
    <w:rPr>
      <w:rFonts w:ascii="Arial" w:hAnsi="Arial" w:eastAsia="Arial" w:cs="Arial"/>
      <w:i/>
      <w:iCs/>
      <w:sz w:val="21"/>
      <w:szCs w:val="21"/>
    </w:rPr>
  </w:style>
  <w:style w:type="character" w:styleId="744" w:customStyle="1">
    <w:name w:val="Title Char"/>
    <w:basedOn w:val="734"/>
    <w:uiPriority w:val="10"/>
    <w:rPr>
      <w:sz w:val="48"/>
      <w:szCs w:val="48"/>
    </w:rPr>
  </w:style>
  <w:style w:type="character" w:styleId="745" w:customStyle="1">
    <w:name w:val="Subtitle Char"/>
    <w:basedOn w:val="734"/>
    <w:uiPriority w:val="11"/>
    <w:rPr>
      <w:sz w:val="24"/>
      <w:szCs w:val="24"/>
    </w:rPr>
  </w:style>
  <w:style w:type="character" w:styleId="746" w:customStyle="1">
    <w:name w:val="Quote Char"/>
    <w:uiPriority w:val="29"/>
    <w:rPr>
      <w:i/>
    </w:rPr>
  </w:style>
  <w:style w:type="character" w:styleId="747" w:customStyle="1">
    <w:name w:val="Intense Quote Char"/>
    <w:uiPriority w:val="30"/>
    <w:rPr>
      <w:i/>
    </w:rPr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Heading 2 Char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"/>
    <w:link w:val="727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Заголовок 4 Знак"/>
    <w:link w:val="728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link w:val="729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link w:val="730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link w:val="732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link w:val="733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List Paragraph"/>
    <w:basedOn w:val="724"/>
    <w:uiPriority w:val="34"/>
    <w:qFormat/>
    <w:pPr>
      <w:contextualSpacing/>
      <w:ind w:left="720"/>
    </w:pPr>
  </w:style>
  <w:style w:type="paragraph" w:styleId="760">
    <w:name w:val="No Spacing"/>
    <w:uiPriority w:val="1"/>
    <w:qFormat/>
  </w:style>
  <w:style w:type="paragraph" w:styleId="761">
    <w:name w:val="Title"/>
    <w:basedOn w:val="724"/>
    <w:next w:val="724"/>
    <w:link w:val="762"/>
    <w:uiPriority w:val="10"/>
    <w:qFormat/>
    <w:pPr>
      <w:contextualSpacing/>
      <w:spacing w:before="300"/>
    </w:pPr>
    <w:rPr>
      <w:sz w:val="48"/>
      <w:szCs w:val="48"/>
    </w:rPr>
  </w:style>
  <w:style w:type="character" w:styleId="762" w:customStyle="1">
    <w:name w:val="Заголовок Знак1"/>
    <w:link w:val="761"/>
    <w:uiPriority w:val="10"/>
    <w:rPr>
      <w:sz w:val="48"/>
      <w:szCs w:val="48"/>
    </w:rPr>
  </w:style>
  <w:style w:type="paragraph" w:styleId="763">
    <w:name w:val="Subtitle"/>
    <w:basedOn w:val="724"/>
    <w:next w:val="724"/>
    <w:link w:val="764"/>
    <w:uiPriority w:val="11"/>
    <w:qFormat/>
    <w:pPr>
      <w:spacing w:before="200"/>
    </w:pPr>
    <w:rPr>
      <w:sz w:val="24"/>
      <w:szCs w:val="24"/>
    </w:rPr>
  </w:style>
  <w:style w:type="character" w:styleId="764" w:customStyle="1">
    <w:name w:val="Подзаголовок Знак"/>
    <w:link w:val="763"/>
    <w:uiPriority w:val="11"/>
    <w:rPr>
      <w:sz w:val="24"/>
      <w:szCs w:val="24"/>
    </w:rPr>
  </w:style>
  <w:style w:type="paragraph" w:styleId="765">
    <w:name w:val="Quote"/>
    <w:basedOn w:val="724"/>
    <w:next w:val="724"/>
    <w:link w:val="766"/>
    <w:uiPriority w:val="29"/>
    <w:qFormat/>
    <w:pPr>
      <w:ind w:left="720" w:right="720"/>
    </w:pPr>
    <w:rPr>
      <w:i/>
    </w:rPr>
  </w:style>
  <w:style w:type="character" w:styleId="766" w:customStyle="1">
    <w:name w:val="Цитата 2 Знак"/>
    <w:link w:val="765"/>
    <w:uiPriority w:val="29"/>
    <w:rPr>
      <w:i/>
    </w:rPr>
  </w:style>
  <w:style w:type="paragraph" w:styleId="767">
    <w:name w:val="Intense Quote"/>
    <w:basedOn w:val="724"/>
    <w:next w:val="724"/>
    <w:link w:val="76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8" w:customStyle="1">
    <w:name w:val="Выделенная цитата Знак"/>
    <w:link w:val="767"/>
    <w:uiPriority w:val="30"/>
    <w:rPr>
      <w:i/>
    </w:rPr>
  </w:style>
  <w:style w:type="paragraph" w:styleId="769">
    <w:name w:val="Header"/>
    <w:basedOn w:val="724"/>
    <w:link w:val="9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70" w:customStyle="1">
    <w:name w:val="Header Char"/>
    <w:uiPriority w:val="99"/>
  </w:style>
  <w:style w:type="paragraph" w:styleId="771">
    <w:name w:val="Footer"/>
    <w:basedOn w:val="724"/>
    <w:link w:val="933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72">
    <w:name w:val="Caption"/>
    <w:basedOn w:val="724"/>
    <w:next w:val="72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73" w:customStyle="1">
    <w:name w:val="Caption Char"/>
    <w:uiPriority w:val="99"/>
  </w:style>
  <w:style w:type="table" w:styleId="774">
    <w:name w:val="Table Grid"/>
    <w:basedOn w:val="735"/>
    <w:rPr>
      <w:rFonts w:cs="Times New Roman"/>
    </w:rPr>
    <w:tblPr/>
  </w:style>
  <w:style w:type="table" w:styleId="77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0">
    <w:name w:val="Hyperlink"/>
    <w:uiPriority w:val="99"/>
    <w:unhideWhenUsed/>
    <w:rPr>
      <w:color w:val="0000ff"/>
      <w:u w:val="single"/>
    </w:rPr>
  </w:style>
  <w:style w:type="paragraph" w:styleId="901">
    <w:name w:val="footnote text"/>
    <w:basedOn w:val="724"/>
    <w:link w:val="902"/>
    <w:uiPriority w:val="99"/>
    <w:semiHidden/>
    <w:unhideWhenUsed/>
    <w:pPr>
      <w:spacing w:after="40" w:line="240" w:lineRule="auto"/>
    </w:pPr>
    <w:rPr>
      <w:sz w:val="18"/>
    </w:rPr>
  </w:style>
  <w:style w:type="character" w:styleId="902" w:customStyle="1">
    <w:name w:val="Текст сноски Знак"/>
    <w:link w:val="901"/>
    <w:uiPriority w:val="99"/>
    <w:rPr>
      <w:sz w:val="18"/>
    </w:rPr>
  </w:style>
  <w:style w:type="character" w:styleId="903">
    <w:name w:val="footnote reference"/>
    <w:uiPriority w:val="99"/>
    <w:unhideWhenUsed/>
    <w:rPr>
      <w:vertAlign w:val="superscript"/>
    </w:rPr>
  </w:style>
  <w:style w:type="paragraph" w:styleId="904">
    <w:name w:val="endnote text"/>
    <w:basedOn w:val="724"/>
    <w:link w:val="905"/>
    <w:uiPriority w:val="99"/>
    <w:semiHidden/>
    <w:unhideWhenUsed/>
    <w:pPr>
      <w:spacing w:after="0" w:line="240" w:lineRule="auto"/>
    </w:pPr>
    <w:rPr>
      <w:sz w:val="20"/>
    </w:rPr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uiPriority w:val="99"/>
    <w:semiHidden/>
    <w:unhideWhenUsed/>
    <w:rPr>
      <w:vertAlign w:val="superscript"/>
    </w:rPr>
  </w:style>
  <w:style w:type="paragraph" w:styleId="907">
    <w:name w:val="toc 1"/>
    <w:basedOn w:val="724"/>
    <w:next w:val="724"/>
    <w:uiPriority w:val="39"/>
    <w:unhideWhenUsed/>
    <w:pPr>
      <w:spacing w:after="57"/>
    </w:pPr>
  </w:style>
  <w:style w:type="paragraph" w:styleId="908">
    <w:name w:val="toc 2"/>
    <w:basedOn w:val="724"/>
    <w:next w:val="724"/>
    <w:uiPriority w:val="39"/>
    <w:unhideWhenUsed/>
    <w:pPr>
      <w:ind w:left="283"/>
      <w:spacing w:after="57"/>
    </w:pPr>
  </w:style>
  <w:style w:type="paragraph" w:styleId="909">
    <w:name w:val="toc 3"/>
    <w:basedOn w:val="724"/>
    <w:next w:val="724"/>
    <w:uiPriority w:val="39"/>
    <w:unhideWhenUsed/>
    <w:pPr>
      <w:ind w:left="567"/>
      <w:spacing w:after="57"/>
    </w:pPr>
  </w:style>
  <w:style w:type="paragraph" w:styleId="910">
    <w:name w:val="toc 4"/>
    <w:basedOn w:val="724"/>
    <w:next w:val="724"/>
    <w:uiPriority w:val="39"/>
    <w:unhideWhenUsed/>
    <w:pPr>
      <w:ind w:left="850"/>
      <w:spacing w:after="57"/>
    </w:pPr>
  </w:style>
  <w:style w:type="paragraph" w:styleId="911">
    <w:name w:val="toc 5"/>
    <w:basedOn w:val="724"/>
    <w:next w:val="724"/>
    <w:uiPriority w:val="39"/>
    <w:unhideWhenUsed/>
    <w:pPr>
      <w:ind w:left="1134"/>
      <w:spacing w:after="57"/>
    </w:pPr>
  </w:style>
  <w:style w:type="paragraph" w:styleId="912">
    <w:name w:val="toc 6"/>
    <w:basedOn w:val="724"/>
    <w:next w:val="724"/>
    <w:uiPriority w:val="39"/>
    <w:unhideWhenUsed/>
    <w:pPr>
      <w:ind w:left="1417"/>
      <w:spacing w:after="57"/>
    </w:pPr>
  </w:style>
  <w:style w:type="paragraph" w:styleId="913">
    <w:name w:val="toc 7"/>
    <w:basedOn w:val="724"/>
    <w:next w:val="724"/>
    <w:uiPriority w:val="39"/>
    <w:unhideWhenUsed/>
    <w:pPr>
      <w:ind w:left="1701"/>
      <w:spacing w:after="57"/>
    </w:pPr>
  </w:style>
  <w:style w:type="paragraph" w:styleId="914">
    <w:name w:val="toc 8"/>
    <w:basedOn w:val="724"/>
    <w:next w:val="724"/>
    <w:uiPriority w:val="39"/>
    <w:unhideWhenUsed/>
    <w:pPr>
      <w:ind w:left="1984"/>
      <w:spacing w:after="57"/>
    </w:pPr>
  </w:style>
  <w:style w:type="paragraph" w:styleId="915">
    <w:name w:val="toc 9"/>
    <w:basedOn w:val="724"/>
    <w:next w:val="724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24"/>
    <w:next w:val="724"/>
    <w:uiPriority w:val="99"/>
    <w:unhideWhenUsed/>
    <w:pPr>
      <w:spacing w:after="0"/>
    </w:pPr>
  </w:style>
  <w:style w:type="character" w:styleId="918" w:customStyle="1">
    <w:name w:val="Заголовок 1 Знак"/>
    <w:link w:val="725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19" w:customStyle="1">
    <w:name w:val="Заголовок 2 Знак"/>
    <w:link w:val="726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20">
    <w:name w:val="Body Text"/>
    <w:basedOn w:val="724"/>
    <w:link w:val="921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921" w:customStyle="1">
    <w:name w:val="Основной текст Знак"/>
    <w:link w:val="920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22">
    <w:name w:val="Body Text 2"/>
    <w:basedOn w:val="724"/>
    <w:link w:val="923"/>
    <w:uiPriority w:val="99"/>
    <w:semiHidden/>
    <w:pPr>
      <w:spacing w:after="120" w:line="480" w:lineRule="auto"/>
    </w:pPr>
    <w:rPr>
      <w:sz w:val="20"/>
      <w:szCs w:val="20"/>
    </w:rPr>
  </w:style>
  <w:style w:type="character" w:styleId="923" w:customStyle="1">
    <w:name w:val="Основной текст 2 Знак"/>
    <w:link w:val="92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24">
    <w:name w:val="Balloon Text"/>
    <w:basedOn w:val="724"/>
    <w:link w:val="92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link w:val="924"/>
    <w:uiPriority w:val="99"/>
    <w:semiHidden/>
    <w:rPr>
      <w:rFonts w:ascii="Tahoma" w:hAnsi="Tahoma" w:cs="Tahoma"/>
      <w:sz w:val="16"/>
      <w:szCs w:val="16"/>
    </w:rPr>
  </w:style>
  <w:style w:type="paragraph" w:styleId="926" w:customStyle="1">
    <w:name w:val="Абзац списка1"/>
    <w:basedOn w:val="724"/>
    <w:uiPriority w:val="99"/>
    <w:pPr>
      <w:ind w:left="720"/>
    </w:pPr>
  </w:style>
  <w:style w:type="paragraph" w:styleId="927" w:customStyle="1">
    <w:name w:val="Название"/>
    <w:basedOn w:val="724"/>
    <w:link w:val="928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928" w:customStyle="1">
    <w:name w:val="Название Знак"/>
    <w:link w:val="927"/>
    <w:rPr>
      <w:b/>
      <w:bCs/>
      <w:sz w:val="24"/>
      <w:szCs w:val="24"/>
      <w:lang w:val="ru-RU" w:eastAsia="ru-RU"/>
    </w:rPr>
  </w:style>
  <w:style w:type="paragraph" w:styleId="929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30">
    <w:name w:val="Body Text Indent"/>
    <w:basedOn w:val="724"/>
    <w:link w:val="931"/>
    <w:uiPriority w:val="99"/>
    <w:pPr>
      <w:ind w:left="283"/>
      <w:spacing w:after="120"/>
    </w:pPr>
  </w:style>
  <w:style w:type="character" w:styleId="931" w:customStyle="1">
    <w:name w:val="Основной текст с отступом Знак"/>
    <w:link w:val="930"/>
    <w:uiPriority w:val="99"/>
    <w:semiHidden/>
    <w:rPr>
      <w:sz w:val="22"/>
      <w:szCs w:val="22"/>
    </w:rPr>
  </w:style>
  <w:style w:type="character" w:styleId="932" w:customStyle="1">
    <w:name w:val="Footer Char"/>
    <w:uiPriority w:val="99"/>
    <w:rPr>
      <w:sz w:val="28"/>
      <w:szCs w:val="28"/>
      <w:lang w:val="ru-RU" w:eastAsia="ru-RU"/>
    </w:rPr>
  </w:style>
  <w:style w:type="character" w:styleId="933" w:customStyle="1">
    <w:name w:val="Нижний колонтитул Знак"/>
    <w:link w:val="771"/>
    <w:rPr>
      <w:sz w:val="22"/>
      <w:szCs w:val="22"/>
    </w:rPr>
  </w:style>
  <w:style w:type="paragraph" w:styleId="934" w:customStyle="1">
    <w:name w:val="Абзац списка;ПАРАГРАФ;List Paragraph;Абзац списка11;Список_маркированный;Список_маркированный1"/>
    <w:basedOn w:val="724"/>
    <w:uiPriority w:val="34"/>
    <w:qFormat/>
    <w:pPr>
      <w:contextualSpacing/>
      <w:ind w:left="720"/>
    </w:pPr>
  </w:style>
  <w:style w:type="character" w:styleId="935" w:customStyle="1">
    <w:name w:val="Верхний колонтитул Знак"/>
    <w:basedOn w:val="734"/>
    <w:link w:val="769"/>
    <w:uiPriority w:val="99"/>
  </w:style>
  <w:style w:type="character" w:styleId="936">
    <w:name w:val="Strong"/>
    <w:uiPriority w:val="22"/>
    <w:qFormat/>
    <w:rPr>
      <w:b/>
      <w:bCs/>
    </w:rPr>
  </w:style>
  <w:style w:type="paragraph" w:styleId="937">
    <w:name w:val="Normal (Web)"/>
    <w:basedOn w:val="72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38" w:customStyle="1">
    <w:name w:val="Основной текст_"/>
    <w:link w:val="939"/>
    <w:rPr>
      <w:spacing w:val="-2"/>
      <w:sz w:val="25"/>
      <w:szCs w:val="25"/>
      <w:shd w:val="clear" w:color="auto" w:fill="ffffff"/>
    </w:rPr>
  </w:style>
  <w:style w:type="paragraph" w:styleId="939" w:customStyle="1">
    <w:name w:val="Основной текст1"/>
    <w:basedOn w:val="724"/>
    <w:link w:val="938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40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41" w:customStyle="1">
    <w:name w:val="Основной текст (12)_"/>
    <w:link w:val="942"/>
    <w:rPr>
      <w:spacing w:val="2"/>
      <w:shd w:val="clear" w:color="auto" w:fill="ffffff"/>
    </w:rPr>
  </w:style>
  <w:style w:type="paragraph" w:styleId="942" w:customStyle="1">
    <w:name w:val="Основной текст (12)"/>
    <w:basedOn w:val="724"/>
    <w:link w:val="94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43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44" w:customStyle="1">
    <w:name w:val="ConsPlusNormal"/>
    <w:link w:val="945"/>
    <w:pPr>
      <w:ind w:firstLine="720"/>
      <w:widowControl w:val="off"/>
    </w:pPr>
    <w:rPr>
      <w:rFonts w:ascii="Arial" w:hAnsi="Arial" w:cs="Arial"/>
      <w:lang w:eastAsia="ru-RU"/>
    </w:rPr>
  </w:style>
  <w:style w:type="character" w:styleId="945" w:customStyle="1">
    <w:name w:val="ConsPlusNormal Знак"/>
    <w:link w:val="944"/>
    <w:rPr>
      <w:rFonts w:ascii="Arial" w:hAnsi="Arial" w:cs="Arial"/>
    </w:rPr>
  </w:style>
  <w:style w:type="paragraph" w:styleId="946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947" w:customStyle="1">
    <w:name w:val="Основной текст (15)_"/>
    <w:rPr>
      <w:spacing w:val="3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9</cp:revision>
  <dcterms:created xsi:type="dcterms:W3CDTF">2026-06-18T05:42:00Z</dcterms:created>
  <dcterms:modified xsi:type="dcterms:W3CDTF">2026-09-24T05:33:46Z</dcterms:modified>
  <cp:version>1048576</cp:version>
</cp:coreProperties>
</file>