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2937510</wp:posOffset>
                </wp:positionH>
                <wp:positionV relativeFrom="paragraph">
                  <wp:posOffset>-345457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133777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49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1.30pt;mso-position-horizontal:absolute;mso-position-vertical-relative:text;margin-top:-27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38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25 апреля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ул.Кирова,3 малый зал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0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40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40"/>
        <w:jc w:val="center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6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39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Козловская Екатерина Николаевна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участников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Диденко И.В.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2. 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Исключить </w:t>
      </w:r>
      <w:r>
        <w:rPr>
          <w:rFonts w:ascii="Times New Roman" w:hAnsi="Times New Roman" w:cs="Times New Roman"/>
          <w:sz w:val="28"/>
          <w:szCs w:val="28"/>
        </w:rPr>
        <w:t xml:space="preserve">из повестки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sz w:val="28"/>
          <w:szCs w:val="28"/>
        </w:rPr>
        <w:t xml:space="preserve"> вопрос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 проекте закона Новосибирской области «О внесении изменений в статьи 4.2 и 4.5 Закона Новосибирской области «О налогах и особенностях налогообложения отдельных категорий налогоплательщиков в Новоси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бирской области», первое чтение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.3. 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</w:t>
      </w:r>
      <w:r>
        <w:rPr>
          <w:rFonts w:ascii="Times New Roman" w:hAnsi="Times New Roman"/>
          <w:b/>
          <w:sz w:val="28"/>
          <w:szCs w:val="28"/>
        </w:rPr>
        <w:t xml:space="preserve">ти «Об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недвижимого имущества на территории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Франчук Дмитрий Вадимович</w:t>
      </w:r>
      <w:r>
        <w:rPr>
          <w:rFonts w:ascii="Times New Roman" w:hAnsi="Times New Roman"/>
          <w:sz w:val="28"/>
          <w:szCs w:val="28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«Об уменьшении минимального предельног</w:t>
      </w:r>
      <w:r>
        <w:rPr>
          <w:rFonts w:ascii="Times New Roman" w:hAnsi="Times New Roman" w:cs="Times New Roman"/>
          <w:sz w:val="28"/>
          <w:szCs w:val="28"/>
        </w:rPr>
        <w:t xml:space="preserve">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Новосибирской области» и рекомендовать его к принятию во втором чтении.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hyperlink r:id="rId12" w:tooltip="https://old.nso.ru/php/sovetprav_files/files/zakon%2886%29.docx" w:history="1">
        <w:r>
          <w:rPr>
            <w:rStyle w:val="945"/>
            <w:rFonts w:ascii="Times New Roman" w:hAnsi="Times New Roman" w:eastAsia="Arial"/>
            <w:sz w:val="28"/>
            <w:szCs w:val="28"/>
          </w:rPr>
          <w:t xml:space="preserve">О проекте закона Новосибирской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«Левобережный», второе чтение. </w:t>
        </w:r>
      </w:hyperlink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Франчук Дмитрий Вадимович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</w:t>
      </w:r>
      <w:r>
        <w:rPr>
          <w:rFonts w:ascii="Times New Roman" w:hAnsi="Times New Roman" w:cs="Times New Roman"/>
          <w:sz w:val="28"/>
          <w:szCs w:val="28"/>
        </w:rPr>
        <w:t xml:space="preserve">сибирской области «О признании утратившими силу законов Новосибирской области, регулирующих вопросы, связанные с формированием уставного капитала Новосибирского социального коммерческого банка «Левобережный» и рекомендовать его к принятию во втором чтении.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О проекте закона Новосибирской области «О внесении изменений в Закон Новосибирской области «Об областном бюджете Новосибирской области на 2025 год и плановый период 2026 и 2027 годов», первое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Диденко И.В.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Шимкив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А.И., Голубенко В.Ю.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</w:t>
      </w:r>
      <w:r>
        <w:rPr>
          <w:rFonts w:ascii="Times New Roman" w:hAnsi="Times New Roman" w:cs="Times New Roman"/>
          <w:sz w:val="28"/>
          <w:szCs w:val="28"/>
        </w:rPr>
        <w:t xml:space="preserve">рания Новосибирской области проект закона Новосибирской области «О внесении изменений в Закон Новосибирской области «Об областном бюджете Новосибирской области на 2025 год и плановый период 2026 и 2027 годов»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Рекомендовать Правительству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З</w:t>
      </w:r>
      <w:r>
        <w:rPr>
          <w:rFonts w:ascii="Times New Roman" w:hAnsi="Times New Roman" w:eastAsia="Calibri"/>
          <w:sz w:val="28"/>
          <w:szCs w:val="28"/>
        </w:rPr>
        <w:t xml:space="preserve">акон Новосибирской </w:t>
      </w:r>
      <w:r>
        <w:rPr>
          <w:rFonts w:ascii="Times New Roman" w:hAnsi="Times New Roman" w:eastAsia="Calibri"/>
          <w:sz w:val="28"/>
          <w:szCs w:val="28"/>
        </w:rPr>
        <w:t xml:space="preserve">области «Об областном бюджете </w:t>
      </w:r>
      <w:r>
        <w:rPr>
          <w:rFonts w:ascii="Times New Roman" w:hAnsi="Times New Roman" w:eastAsia="Calibri"/>
          <w:sz w:val="28"/>
          <w:szCs w:val="28"/>
        </w:rPr>
        <w:t xml:space="preserve">Новосибирской области</w:t>
      </w:r>
      <w:r>
        <w:rPr>
          <w:rFonts w:ascii="Times New Roman" w:hAnsi="Times New Roman" w:eastAsia="Calibri"/>
          <w:sz w:val="28"/>
          <w:szCs w:val="28"/>
        </w:rPr>
        <w:t xml:space="preserve"> на 2025 год и плановый период 2026 и 2027 годов</w:t>
      </w:r>
      <w:r>
        <w:rPr>
          <w:rFonts w:ascii="Times New Roman" w:hAnsi="Times New Roman" w:eastAsia="Calibri"/>
          <w:sz w:val="28"/>
          <w:szCs w:val="28"/>
        </w:rPr>
        <w:t xml:space="preserve">»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перв</w:t>
      </w:r>
      <w:r>
        <w:rPr>
          <w:rFonts w:ascii="Times New Roman" w:hAnsi="Times New Roman" w:cs="Times New Roman"/>
          <w:sz w:val="28"/>
          <w:szCs w:val="28"/>
        </w:rPr>
        <w:t xml:space="preserve">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 Рекомендовать Правительству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 принять необходимые меры по усилени</w:t>
      </w:r>
      <w:r>
        <w:rPr>
          <w:rFonts w:ascii="Times New Roman" w:hAnsi="Times New Roman" w:cs="Times New Roman"/>
          <w:sz w:val="28"/>
          <w:szCs w:val="28"/>
        </w:rPr>
        <w:t xml:space="preserve">ю контроля за эффективностью расходования средств областного бюджета Новосибирской области и ходом строительных работ в целях соблюдения сроков реализации проектов по строительству шести школ в рамках концессионного соглашения, а также поликлиник в рамках </w:t>
      </w:r>
      <w:r>
        <w:rPr>
          <w:rFonts w:ascii="Times New Roman" w:hAnsi="Times New Roman" w:cs="Times New Roman"/>
          <w:sz w:val="28"/>
          <w:szCs w:val="28"/>
        </w:rPr>
        <w:t xml:space="preserve">соглашения о </w:t>
      </w:r>
      <w:r>
        <w:rPr>
          <w:rFonts w:ascii="Times New Roman" w:hAnsi="Times New Roman" w:cs="Times New Roman"/>
          <w:sz w:val="28"/>
          <w:szCs w:val="28"/>
        </w:rPr>
        <w:t xml:space="preserve">ГЧП в г. Новосибирске,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при реализации проектов</w:t>
      </w:r>
      <w:r>
        <w:rPr>
          <w:rFonts w:ascii="Times New Roman" w:hAnsi="Times New Roman" w:cs="Times New Roman"/>
          <w:sz w:val="28"/>
          <w:szCs w:val="28"/>
        </w:rPr>
        <w:t xml:space="preserve"> ГЧП (концессий)</w:t>
      </w:r>
      <w:r>
        <w:rPr>
          <w:rFonts w:ascii="Times New Roman" w:hAnsi="Times New Roman" w:cs="Times New Roman"/>
          <w:sz w:val="28"/>
          <w:szCs w:val="28"/>
        </w:rPr>
        <w:t xml:space="preserve">, направленных на создание объектов капитального строительств</w:t>
      </w:r>
      <w:r>
        <w:rPr>
          <w:rFonts w:ascii="Times New Roman" w:hAnsi="Times New Roman" w:cs="Times New Roman"/>
          <w:sz w:val="28"/>
          <w:szCs w:val="28"/>
        </w:rPr>
        <w:t xml:space="preserve">а, четко разграничивать сферу ответственности областных исполнительных органов власти, учитывая, что вопросы, связанные со строительством, внесением изменений в проектную документацию, мониторингом хода реализации строительных работ, должны осуществляться </w:t>
      </w:r>
      <w:r>
        <w:rPr>
          <w:rFonts w:ascii="Times New Roman" w:hAnsi="Times New Roman" w:cs="Times New Roman"/>
          <w:sz w:val="28"/>
          <w:szCs w:val="28"/>
        </w:rPr>
        <w:t xml:space="preserve">компетентным </w:t>
      </w: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 </w:t>
      </w:r>
      <w:r>
        <w:rPr>
          <w:rFonts w:ascii="Times New Roman" w:hAnsi="Times New Roman" w:cs="Times New Roman"/>
          <w:sz w:val="28"/>
          <w:szCs w:val="28"/>
        </w:rPr>
        <w:t xml:space="preserve">в целях сокращения сроков с момента ввода в эксплуатацию объектов здравоохранения на территории Новосибирской области и получени</w:t>
      </w:r>
      <w:r>
        <w:rPr>
          <w:rFonts w:ascii="Times New Roman" w:hAnsi="Times New Roman" w:cs="Times New Roman"/>
          <w:sz w:val="28"/>
          <w:szCs w:val="28"/>
        </w:rPr>
        <w:t xml:space="preserve">ем</w:t>
      </w:r>
      <w:r>
        <w:rPr>
          <w:rFonts w:ascii="Times New Roman" w:hAnsi="Times New Roman" w:cs="Times New Roman"/>
          <w:sz w:val="28"/>
          <w:szCs w:val="28"/>
        </w:rPr>
        <w:t xml:space="preserve"> лицензии, началу работы и приему пациентов, заранее проводить работы по устранению имеющихся недостатков и нарушений, учитывая опыт введения подобных объектов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важность обеспечения населения своевременной медицинской помощью;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при принятии решения о реализации проектов на земельных участках, расположенных на территориях, где существует дефицит свободных земельных площадей, имеется высокая плотность застройки и потребность в развитии социальной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отдавать приоритет проектам, направленным на развитие социальной сферы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(а</w:t>
      </w:r>
      <w:r>
        <w:rPr>
          <w:rFonts w:ascii="Times New Roman" w:hAnsi="Times New Roman" w:cs="Times New Roman"/>
          <w:sz w:val="28"/>
          <w:szCs w:val="28"/>
        </w:rPr>
        <w:t xml:space="preserve">налогичная рекомендация Правительству Новосибирской области содержится в решении комитета от 15.02.2023 года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 для повышения эффективности мероприятий по подготовке к отопительному сезону рассмотреть возможность заблаговременно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исходя из фактических потребностей предусматривать в областном бюджете Новоси</w:t>
      </w:r>
      <w:r>
        <w:rPr>
          <w:rFonts w:ascii="Times New Roman" w:hAnsi="Times New Roman" w:cs="Times New Roman"/>
          <w:sz w:val="28"/>
          <w:szCs w:val="28"/>
        </w:rPr>
        <w:t xml:space="preserve">бирской области бюджетные ассигнования на функционирование систем жизнеобеспечения и приобретение топлива муниципальными образованиями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4.3. </w:t>
      </w:r>
      <w:r>
        <w:rPr>
          <w:rFonts w:ascii="Times New Roman" w:hAnsi="Times New Roman" w:cs="Times New Roman"/>
          <w:sz w:val="28"/>
          <w:szCs w:val="28"/>
        </w:rPr>
        <w:t xml:space="preserve">В целях создания благоприятных, комфортных и безопасных условий проживания на территории Новосибирской области и учитывая предложения прокуратуры Новосибирской области, рекомендовать Правительству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) рассмотреть вопрос об увеличении финансирования мероприятий в области использования и охраны водных объектов и поддержани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безопасного технического состояния гидротехнических сооружений Новосибирской области в рамках реализации мероприятий государственной программы Новосибирской области «Охрана окружающей среды», в том числе </w:t>
      </w:r>
      <w:r>
        <w:rPr>
          <w:rFonts w:ascii="Times New Roman" w:hAnsi="Times New Roman" w:cs="Times New Roman"/>
          <w:sz w:val="28"/>
          <w:szCs w:val="28"/>
        </w:rPr>
        <w:t xml:space="preserve">Чановскому</w:t>
      </w:r>
      <w:r>
        <w:rPr>
          <w:rFonts w:ascii="Times New Roman" w:hAnsi="Times New Roman" w:cs="Times New Roman"/>
          <w:sz w:val="28"/>
          <w:szCs w:val="28"/>
        </w:rPr>
        <w:t xml:space="preserve"> району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разработку документов по декларированию безопасности ГТС – шлюза озера Чаны и Куйбышевскому району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на приведение в нормативное состояние ГТС – комплекса инженерной защиты на реке </w:t>
      </w:r>
      <w:r>
        <w:rPr>
          <w:rFonts w:ascii="Times New Roman" w:hAnsi="Times New Roman" w:cs="Times New Roman"/>
          <w:sz w:val="28"/>
          <w:szCs w:val="28"/>
        </w:rPr>
        <w:t xml:space="preserve">Омь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) </w:t>
      </w:r>
      <w:r>
        <w:rPr>
          <w:rFonts w:ascii="Times New Roman" w:hAnsi="Times New Roman" w:cs="Times New Roman"/>
          <w:sz w:val="28"/>
          <w:szCs w:val="28"/>
        </w:rPr>
        <w:t xml:space="preserve">предусмотреть бюджетные ассигнования </w:t>
      </w:r>
      <w:r>
        <w:rPr>
          <w:rFonts w:ascii="Times New Roman" w:hAnsi="Times New Roman" w:cs="Times New Roman"/>
          <w:sz w:val="28"/>
          <w:szCs w:val="28"/>
        </w:rPr>
        <w:t xml:space="preserve">Болотнинскому</w:t>
      </w:r>
      <w:r>
        <w:rPr>
          <w:rFonts w:ascii="Times New Roman" w:hAnsi="Times New Roman" w:cs="Times New Roman"/>
          <w:sz w:val="28"/>
          <w:szCs w:val="28"/>
        </w:rPr>
        <w:t xml:space="preserve"> району Новосибирской области на установку очистных сооружений на водонапорных башн</w:t>
      </w:r>
      <w:r>
        <w:rPr>
          <w:rFonts w:ascii="Times New Roman" w:hAnsi="Times New Roman" w:cs="Times New Roman"/>
          <w:sz w:val="28"/>
          <w:szCs w:val="28"/>
        </w:rPr>
        <w:t xml:space="preserve">ях в </w:t>
      </w:r>
      <w:r>
        <w:rPr>
          <w:rFonts w:ascii="Times New Roman" w:hAnsi="Times New Roman" w:cs="Times New Roman"/>
          <w:sz w:val="28"/>
          <w:szCs w:val="28"/>
        </w:rPr>
        <w:t xml:space="preserve">Светлополянском</w:t>
      </w:r>
      <w:r>
        <w:rPr>
          <w:rFonts w:ascii="Times New Roman" w:hAnsi="Times New Roman" w:cs="Times New Roman"/>
          <w:sz w:val="28"/>
          <w:szCs w:val="28"/>
        </w:rPr>
        <w:t xml:space="preserve"> сельсовете;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) предусмотреть бюджетные ассигнования на проведение конкурсных процедур </w:t>
      </w:r>
      <w:r>
        <w:rPr>
          <w:rFonts w:ascii="Times New Roman" w:hAnsi="Times New Roman" w:cs="Times New Roman"/>
          <w:sz w:val="28"/>
          <w:szCs w:val="28"/>
        </w:rPr>
        <w:t xml:space="preserve">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заключения контракта на </w:t>
      </w:r>
      <w:r>
        <w:rPr>
          <w:rFonts w:ascii="Times New Roman" w:hAnsi="Times New Roman" w:cs="Times New Roman"/>
          <w:sz w:val="28"/>
          <w:szCs w:val="28"/>
        </w:rPr>
        <w:t xml:space="preserve">осуществл</w:t>
      </w:r>
      <w:r>
        <w:rPr>
          <w:rFonts w:ascii="Times New Roman" w:hAnsi="Times New Roman" w:cs="Times New Roman"/>
          <w:sz w:val="28"/>
          <w:szCs w:val="28"/>
        </w:rPr>
        <w:t xml:space="preserve">ение корректировки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актуализации </w:t>
      </w:r>
      <w:r>
        <w:rPr>
          <w:rFonts w:ascii="Times New Roman" w:hAnsi="Times New Roman" w:cs="Times New Roman"/>
          <w:sz w:val="28"/>
          <w:szCs w:val="28"/>
        </w:rPr>
        <w:t xml:space="preserve">действующих региональных нормативов градостроительного проектирования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в целях</w:t>
      </w:r>
      <w:r>
        <w:rPr>
          <w:rFonts w:ascii="Times New Roman" w:hAnsi="Times New Roman" w:cs="Times New Roman"/>
          <w:sz w:val="28"/>
          <w:szCs w:val="28"/>
        </w:rPr>
        <w:t xml:space="preserve"> обеспечения устойчивого развития территории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4.4. Рекомендовать министерству экономического развития Новосибирской области представить в комитет информацию о пр</w:t>
      </w:r>
      <w:r>
        <w:rPr>
          <w:rFonts w:ascii="Times New Roman" w:hAnsi="Times New Roman" w:cs="Times New Roman"/>
          <w:sz w:val="28"/>
          <w:szCs w:val="28"/>
        </w:rPr>
        <w:t xml:space="preserve">огнозн</w:t>
      </w:r>
      <w:r>
        <w:rPr>
          <w:rFonts w:ascii="Times New Roman" w:hAnsi="Times New Roman" w:cs="Times New Roman"/>
          <w:sz w:val="28"/>
          <w:szCs w:val="28"/>
        </w:rPr>
        <w:t xml:space="preserve">ой бюджетной отдаче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планируемых бюджетных инвестиций в </w:t>
      </w:r>
      <w:r>
        <w:rPr>
          <w:rFonts w:ascii="Times New Roman" w:hAnsi="Times New Roman" w:cs="Times New Roman"/>
          <w:sz w:val="28"/>
          <w:szCs w:val="28"/>
        </w:rPr>
        <w:t xml:space="preserve">объекты </w:t>
      </w:r>
      <w:r>
        <w:rPr>
          <w:rFonts w:ascii="Times New Roman" w:hAnsi="Times New Roman" w:cs="Times New Roman"/>
          <w:sz w:val="28"/>
          <w:szCs w:val="28"/>
        </w:rPr>
        <w:t xml:space="preserve">капитального строительства (</w:t>
      </w:r>
      <w:r>
        <w:rPr>
          <w:rFonts w:ascii="Times New Roman" w:hAnsi="Times New Roman" w:cs="Times New Roman"/>
          <w:sz w:val="28"/>
          <w:szCs w:val="28"/>
        </w:rPr>
        <w:t xml:space="preserve">инженерной инфраструктуры</w:t>
      </w:r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. О проекте </w:t>
      </w:r>
      <w:r>
        <w:rPr>
          <w:rFonts w:ascii="Times New Roman" w:hAnsi="Times New Roman"/>
          <w:b/>
          <w:sz w:val="28"/>
          <w:szCs w:val="28"/>
        </w:rPr>
        <w:t xml:space="preserve">изменений в государственную программу Новосибирской области «Управление финансами в Новосибирской области».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.1. Принять к сведению информацию Голубенко В.Ю. – заместителя Председателя </w:t>
      </w:r>
      <w:r>
        <w:rPr>
          <w:rFonts w:ascii="Times New Roman" w:hAnsi="Times New Roman"/>
          <w:bCs/>
          <w:sz w:val="28"/>
          <w:szCs w:val="28"/>
        </w:rPr>
        <w:t xml:space="preserve">Правительства Новосибирской области – </w:t>
      </w:r>
      <w:r>
        <w:rPr>
          <w:rFonts w:ascii="Times New Roman" w:hAnsi="Times New Roman"/>
          <w:bCs/>
          <w:sz w:val="28"/>
          <w:szCs w:val="28"/>
        </w:rPr>
        <w:t xml:space="preserve">министр</w:t>
      </w:r>
      <w:r>
        <w:rPr>
          <w:rFonts w:ascii="Times New Roman" w:hAnsi="Times New Roman"/>
          <w:bCs/>
          <w:sz w:val="28"/>
          <w:szCs w:val="28"/>
        </w:rPr>
        <w:t xml:space="preserve">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финансов и налоговой политики </w:t>
      </w:r>
      <w:r>
        <w:rPr>
          <w:rFonts w:ascii="Times New Roman" w:hAnsi="Times New Roman"/>
          <w:bCs/>
          <w:sz w:val="28"/>
          <w:szCs w:val="28"/>
        </w:rPr>
        <w:t xml:space="preserve">Новосибирской области</w:t>
      </w:r>
      <w:r>
        <w:rPr>
          <w:rFonts w:ascii="Times New Roman" w:hAnsi="Times New Roman"/>
          <w:bCs/>
          <w:sz w:val="28"/>
          <w:szCs w:val="28"/>
        </w:rPr>
        <w:t xml:space="preserve"> и согласовать изменения </w:t>
      </w:r>
      <w:r>
        <w:rPr>
          <w:rFonts w:ascii="Times New Roman" w:hAnsi="Times New Roman"/>
          <w:bCs/>
          <w:sz w:val="28"/>
          <w:szCs w:val="28"/>
        </w:rPr>
        <w:t xml:space="preserve">в государственную программу Новосибирской области «</w:t>
      </w:r>
      <w:r>
        <w:rPr>
          <w:rFonts w:ascii="Times New Roman" w:hAnsi="Times New Roman"/>
          <w:bCs/>
          <w:sz w:val="28"/>
          <w:szCs w:val="28"/>
        </w:rPr>
        <w:t xml:space="preserve">Управление финансами в Новосибирской области».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</w:t>
      </w:r>
      <w:r>
        <w:rPr>
          <w:rFonts w:ascii="Times New Roman" w:hAnsi="Times New Roman"/>
          <w:bCs/>
          <w:sz w:val="28"/>
          <w:szCs w:val="28"/>
        </w:rPr>
        <w:t xml:space="preserve">.2. Направить справку департамента по правовым вопросам аппарата Законодательного Собрания Новосибирской области на проект изменений в государственную программу Новосибирской области для учета замечания.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. О годовом отчете о деятельности Контрольно-счетной палаты Новосибирской области за 2024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</w:t>
      </w:r>
      <w:r>
        <w:rPr>
          <w:rFonts w:ascii="Times New Roman" w:hAnsi="Times New Roman"/>
          <w:sz w:val="28"/>
          <w:szCs w:val="28"/>
        </w:rPr>
        <w:t xml:space="preserve"> – председатель 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/>
          <w:sz w:val="28"/>
          <w:szCs w:val="28"/>
        </w:rPr>
        <w:t xml:space="preserve">Диденко И.В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.1. Предложить в проект повестки дня </w:t>
      </w:r>
      <w:r>
        <w:rPr>
          <w:rFonts w:ascii="Times New Roman" w:hAnsi="Times New Roman" w:cs="Times New Roman"/>
          <w:sz w:val="28"/>
          <w:szCs w:val="28"/>
        </w:rPr>
        <w:t xml:space="preserve">57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й сессии Законодательного Собрания Новосибирской области включить вопрос «О годовом отчете о деятельности Контрольно-счетной палаты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.2. Отметить высокий уровень взаимодействия Законодательного Собрания Новосибирской области и Контрольно-счетной палаты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С учетом выводов и предложений Контрольно-счетной палаты Новосибирской области, сделанных по результатам контроля, отметить следующие </w:t>
      </w:r>
      <w:r>
        <w:rPr>
          <w:rFonts w:ascii="Times New Roman" w:hAnsi="Times New Roman" w:cs="Times New Roman"/>
          <w:sz w:val="28"/>
          <w:szCs w:val="28"/>
        </w:rPr>
        <w:t xml:space="preserve">позитивные </w:t>
      </w:r>
      <w:r>
        <w:rPr>
          <w:rFonts w:ascii="Times New Roman" w:hAnsi="Times New Roman" w:cs="Times New Roman"/>
          <w:sz w:val="28"/>
          <w:szCs w:val="28"/>
        </w:rPr>
        <w:t xml:space="preserve">изменения в бюджетно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процесс</w:t>
      </w:r>
      <w:r>
        <w:rPr>
          <w:rFonts w:ascii="Times New Roman" w:hAnsi="Times New Roman" w:cs="Times New Roman"/>
          <w:sz w:val="28"/>
          <w:szCs w:val="28"/>
        </w:rPr>
        <w:t xml:space="preserve">е</w:t>
      </w:r>
      <w:r>
        <w:rPr>
          <w:rFonts w:ascii="Times New Roman" w:hAnsi="Times New Roman" w:cs="Times New Roman"/>
          <w:sz w:val="28"/>
          <w:szCs w:val="28"/>
        </w:rPr>
        <w:t xml:space="preserve">, управлении и распоряжении государственной собственностью, </w:t>
      </w:r>
      <w:r>
        <w:rPr>
          <w:rFonts w:ascii="Times New Roman" w:hAnsi="Times New Roman" w:cs="Times New Roman"/>
          <w:sz w:val="28"/>
          <w:szCs w:val="28"/>
        </w:rPr>
        <w:t xml:space="preserve">поддержке инвестиционной активности, </w:t>
      </w:r>
      <w:r>
        <w:rPr>
          <w:rFonts w:ascii="Times New Roman" w:hAnsi="Times New Roman" w:cs="Times New Roman"/>
          <w:sz w:val="28"/>
          <w:szCs w:val="28"/>
        </w:rPr>
        <w:t xml:space="preserve">снижении объемов незавершенного строительства: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 новый порядок списания областного имущества;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внесены изменения в методики распределения межбюджетных трансфертов, направленные на создание стимулов к проведению муниципальными образованиями ответственной налоговой политики;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повышается качество бюджетного процесса на муниципальном уровне, в том числе за счет централизации бюджетных, бухгалтерских и контрактных функций на уровне муниципальных районов;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совершенствуется порядок подготовки и реализации бюджетных инвестиций в объекты областной собственности, установлены сроки передачи капитальных вложений эксплуатирующим организациям;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показатели результативности предоставления субсидий некоммерческим организациям, а также методики их расчета приводятся в соответствие с показателями структурных элементов государственных программ Новосибирской области и региональных проектов;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внесены поправки в проект закон</w:t>
      </w:r>
      <w:r>
        <w:rPr>
          <w:rFonts w:ascii="Times New Roman" w:hAnsi="Times New Roman" w:cs="Times New Roman"/>
          <w:sz w:val="28"/>
          <w:szCs w:val="28"/>
        </w:rPr>
        <w:t xml:space="preserve">а об областном бюджете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в части уточнения дополнительных оснований внесения изменений в сводную бюджетную роспись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. Выделить отдельные направления</w:t>
      </w:r>
      <w:r>
        <w:rPr>
          <w:rFonts w:ascii="Times New Roman" w:hAnsi="Times New Roman" w:cs="Times New Roman"/>
          <w:sz w:val="28"/>
          <w:szCs w:val="28"/>
        </w:rPr>
        <w:t xml:space="preserve">, которые требуют </w:t>
      </w:r>
      <w:r>
        <w:rPr>
          <w:rFonts w:ascii="Times New Roman" w:hAnsi="Times New Roman" w:cs="Times New Roman"/>
          <w:sz w:val="28"/>
          <w:szCs w:val="28"/>
        </w:rPr>
        <w:t xml:space="preserve">дальнейшей работы</w:t>
      </w:r>
      <w:r>
        <w:rPr>
          <w:rFonts w:ascii="Times New Roman" w:hAnsi="Times New Roman" w:cs="Times New Roman"/>
          <w:sz w:val="28"/>
          <w:szCs w:val="28"/>
        </w:rPr>
        <w:t xml:space="preserve"> по совершенствованию законодательства, устранению выявленных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</w:t>
      </w:r>
      <w:r>
        <w:rPr>
          <w:rFonts w:ascii="Times New Roman" w:hAnsi="Times New Roman" w:cs="Times New Roman"/>
          <w:sz w:val="28"/>
          <w:szCs w:val="28"/>
        </w:rPr>
        <w:t xml:space="preserve">ой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нарушений и недостатков, в том числе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актуализировать документы стратегического планирования, порядок разработки и реализации государственных программ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оптимизировать документооборот при оформлении передачи государственного имущества Новосибирской области подведомственным учреждениям;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принять дополнительные меры для повышения качества разработки проектной документации и выполнения строительных работ;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использовать формы поддержки инвестиционных проектов, обеспечивающих получение доходов в объеме не менее вложенных бюджетных средств;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уточнить механизм создания инфраструктуры для проектов в сфере жилищного строительства с учетом уровня налоговой нагрузки;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принять меры для завершения строительства и начала эксплуатации объектов государственно-частного партнерства;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продолжить работу по совершенствованию системы бюджетного выравнивания и межбюджетных отношений;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продолжить реализацию мер по повышению качества финансового менеджмента на областном и муниципальном уровне.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.5. Внести на рассмотрение 57-ой сессии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проект постановления Законодательного Собрания Новосибирской области «О годовом отчете о деятельности Контрольно-счетной палаты Новосибирской области за 2024 год» и рекомендовать его к принятию (прилагается).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947"/>
        <w:ind w:left="40" w:firstLine="669"/>
        <w:jc w:val="both"/>
        <w:spacing w:before="0" w:after="0" w:line="336" w:lineRule="exact"/>
        <w:shd w:val="clear" w:color="auto" w:fill="auto"/>
        <w:tabs>
          <w:tab w:val="left" w:pos="6765" w:leader="none"/>
        </w:tabs>
        <w:rPr>
          <w:rFonts w:ascii="Times New Roman" w:hAnsi="Times New Roman"/>
          <w:b/>
          <w:spacing w:val="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b/>
          <w:i/>
          <w:sz w:val="28"/>
          <w:szCs w:val="28"/>
        </w:rPr>
        <w:t xml:space="preserve"> </w:t>
      </w:r>
      <w:r>
        <w:rPr>
          <w:rFonts w:ascii="Times New Roman" w:hAnsi="Times New Roman"/>
          <w:b/>
          <w:spacing w:val="0"/>
          <w:sz w:val="28"/>
          <w:szCs w:val="28"/>
        </w:rPr>
        <w:t xml:space="preserve">О проекте изменений в перечень стратегических предприятий и стратегических акционерных обществ.</w:t>
      </w:r>
      <w:r>
        <w:rPr>
          <w:rFonts w:ascii="Times New Roman" w:hAnsi="Times New Roman"/>
          <w:b/>
          <w:spacing w:val="0"/>
          <w:sz w:val="28"/>
          <w:szCs w:val="28"/>
        </w:rPr>
      </w:r>
      <w:r>
        <w:rPr>
          <w:rFonts w:ascii="Times New Roman" w:hAnsi="Times New Roman"/>
          <w:b/>
          <w:spacing w:val="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</w:rPr>
        <w:t xml:space="preserve">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/>
          <w:sz w:val="28"/>
          <w:szCs w:val="28"/>
        </w:rPr>
        <w:t xml:space="preserve">Машкарин</w:t>
      </w:r>
      <w:r>
        <w:rPr>
          <w:rFonts w:ascii="Times New Roman" w:hAnsi="Times New Roman"/>
          <w:sz w:val="28"/>
          <w:szCs w:val="28"/>
        </w:rPr>
        <w:t xml:space="preserve"> Н.В.</w:t>
      </w:r>
      <w:r>
        <w:rPr>
          <w:rFonts w:ascii="Times New Roman" w:hAnsi="Times New Roman"/>
          <w:sz w:val="28"/>
          <w:szCs w:val="28"/>
        </w:rPr>
        <w:t xml:space="preserve">, Диденко И.В.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947"/>
        <w:ind w:left="40" w:firstLine="669"/>
        <w:jc w:val="both"/>
        <w:spacing w:before="0" w:after="0" w:line="336" w:lineRule="exact"/>
        <w:shd w:val="clear" w:color="auto" w:fill="auto"/>
        <w:tabs>
          <w:tab w:val="left" w:pos="6765" w:leader="none"/>
        </w:tabs>
        <w:rPr>
          <w:rFonts w:ascii="Times New Roman" w:hAnsi="Times New Roman"/>
          <w:spacing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</w:t>
      </w:r>
      <w:r>
        <w:rPr>
          <w:rFonts w:ascii="Times New Roman" w:hAnsi="Times New Roman"/>
          <w:sz w:val="28"/>
          <w:szCs w:val="28"/>
        </w:rPr>
        <w:t xml:space="preserve">.1. </w:t>
      </w:r>
      <w:r>
        <w:rPr>
          <w:rFonts w:ascii="Times New Roman" w:hAnsi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/>
          <w:sz w:val="28"/>
          <w:szCs w:val="28"/>
        </w:rPr>
        <w:t xml:space="preserve">Скородумова</w:t>
      </w:r>
      <w:r>
        <w:rPr>
          <w:rFonts w:ascii="Times New Roman" w:hAnsi="Times New Roman"/>
          <w:sz w:val="28"/>
          <w:szCs w:val="28"/>
        </w:rPr>
        <w:t xml:space="preserve"> Е.Л.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исполняющего обязанности </w:t>
      </w:r>
      <w:r>
        <w:rPr>
          <w:rFonts w:ascii="Times New Roman" w:hAnsi="Times New Roman"/>
          <w:sz w:val="28"/>
          <w:szCs w:val="28"/>
        </w:rPr>
        <w:t xml:space="preserve">руководител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 департамента имущества и земельных отношений Новосибирской области </w:t>
      </w:r>
      <w:r>
        <w:rPr>
          <w:rFonts w:ascii="Times New Roman" w:hAnsi="Times New Roman"/>
          <w:sz w:val="28"/>
          <w:szCs w:val="28"/>
        </w:rPr>
        <w:t xml:space="preserve">по вопросу «</w:t>
      </w:r>
      <w:r>
        <w:rPr>
          <w:rFonts w:ascii="Times New Roman" w:hAnsi="Times New Roman"/>
          <w:spacing w:val="0"/>
          <w:sz w:val="28"/>
          <w:szCs w:val="28"/>
        </w:rPr>
        <w:t xml:space="preserve">О проекте изменений в перечень стратегических предприятий и стр</w:t>
      </w:r>
      <w:r>
        <w:rPr>
          <w:rFonts w:ascii="Times New Roman" w:hAnsi="Times New Roman"/>
          <w:spacing w:val="0"/>
          <w:sz w:val="28"/>
          <w:szCs w:val="28"/>
        </w:rPr>
        <w:t xml:space="preserve">атегических акционерных обществ».</w:t>
      </w:r>
      <w:r>
        <w:rPr>
          <w:rFonts w:ascii="Times New Roman" w:hAnsi="Times New Roman"/>
          <w:spacing w:val="0"/>
          <w:sz w:val="28"/>
          <w:szCs w:val="28"/>
        </w:rPr>
      </w:r>
      <w:r>
        <w:rPr>
          <w:rFonts w:ascii="Times New Roman" w:hAnsi="Times New Roman"/>
          <w:spacing w:val="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подпунктом 3 пункта 1 статьи 3 Закона Новосибирской области от 20 мая 2004 года № 181-ОЗ «О приватизации государственного имущества Новосибирской области» и на основании </w:t>
      </w:r>
      <w:hyperlink r:id="rId13" w:tooltip="https://login.consultant.ru/link/?req=doc&amp;base=RLAW049&amp;n=132693" w:history="1">
        <w:r>
          <w:rPr>
            <w:rFonts w:ascii="Times New Roman" w:hAnsi="Times New Roman" w:cs="Times New Roman"/>
            <w:sz w:val="28"/>
            <w:szCs w:val="28"/>
          </w:rPr>
          <w:t xml:space="preserve">распоряжения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Правительства Новосибирской области от 25 марта 2025 года № </w:t>
      </w:r>
      <w:r>
        <w:rPr>
          <w:rFonts w:ascii="Times New Roman" w:hAnsi="Times New Roman" w:cs="Times New Roman"/>
          <w:sz w:val="28"/>
          <w:szCs w:val="28"/>
        </w:rPr>
        <w:t xml:space="preserve">114-рп</w:t>
      </w:r>
      <w:r>
        <w:rPr>
          <w:rFonts w:ascii="Times New Roman" w:hAnsi="Times New Roman" w:cs="Times New Roman"/>
          <w:sz w:val="28"/>
          <w:szCs w:val="28"/>
        </w:rPr>
        <w:t xml:space="preserve"> «О проекте изменений в перечень стратегических предприятий и стратегических акционерных обществ» в</w:t>
      </w:r>
      <w:r>
        <w:rPr>
          <w:rFonts w:ascii="Times New Roman" w:hAnsi="Times New Roman" w:cs="Times New Roman"/>
          <w:sz w:val="28"/>
          <w:szCs w:val="28"/>
        </w:rPr>
        <w:t xml:space="preserve">нести на рассмотрение сессии Законодательного Собрания Новосибирской области проект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Законодательного Собрания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 «О внесении изменений в перечень стратегических предприятий и стратегических акционерных </w:t>
      </w:r>
      <w:r>
        <w:rPr>
          <w:rFonts w:ascii="Times New Roman" w:hAnsi="Times New Roman" w:cs="Times New Roman"/>
          <w:sz w:val="28"/>
          <w:szCs w:val="28"/>
        </w:rPr>
        <w:t xml:space="preserve">обществ» и рекомендовать его к утверждению.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.3. Комитету Законодательного Собрания Новосибирской области по </w:t>
      </w:r>
      <w:r>
        <w:rPr>
          <w:rFonts w:ascii="Times New Roman" w:hAnsi="Times New Roman" w:cs="Times New Roman"/>
          <w:sz w:val="28"/>
          <w:szCs w:val="28"/>
        </w:rPr>
        <w:t xml:space="preserve">бюджетной, финансово-экономической политике и собственности</w:t>
      </w:r>
      <w:r>
        <w:rPr>
          <w:rFonts w:ascii="Times New Roman" w:hAnsi="Times New Roman" w:cs="Times New Roman"/>
          <w:sz w:val="28"/>
          <w:szCs w:val="28"/>
        </w:rPr>
        <w:t xml:space="preserve"> включить в план работы комитета рассмотрение ежегодных отчетов о деятельности (достижениях, развитии, планах) </w:t>
      </w:r>
      <w:r>
        <w:rPr>
          <w:rFonts w:ascii="Times New Roman" w:hAnsi="Times New Roman" w:cs="Times New Roman"/>
          <w:sz w:val="28"/>
          <w:szCs w:val="28"/>
        </w:rPr>
        <w:t xml:space="preserve">акционерны</w:t>
      </w:r>
      <w:r>
        <w:rPr>
          <w:rFonts w:ascii="Times New Roman" w:hAnsi="Times New Roman" w:cs="Times New Roman"/>
          <w:sz w:val="28"/>
          <w:szCs w:val="28"/>
        </w:rPr>
        <w:t xml:space="preserve">х</w:t>
      </w:r>
      <w:r>
        <w:rPr>
          <w:rFonts w:ascii="Times New Roman" w:hAnsi="Times New Roman" w:cs="Times New Roman"/>
          <w:sz w:val="28"/>
          <w:szCs w:val="28"/>
        </w:rPr>
        <w:t xml:space="preserve"> обществ, акции которых находятся в государственной собственности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</w:t>
      </w:r>
      <w:r>
        <w:rPr>
          <w:rFonts w:ascii="Times New Roman" w:hAnsi="Times New Roman"/>
          <w:b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областного имущества в безвозмездное пользование общественной организации «Федерация волейбола Новосибирской области» в части имуществ</w:t>
      </w:r>
      <w:r>
        <w:rPr>
          <w:rFonts w:ascii="Times New Roman" w:hAnsi="Times New Roman"/>
          <w:b/>
          <w:sz w:val="28"/>
          <w:szCs w:val="28"/>
        </w:rPr>
        <w:t xml:space="preserve">а, расположенного по адресу: г. </w:t>
      </w:r>
      <w:r>
        <w:rPr>
          <w:rFonts w:ascii="Times New Roman" w:hAnsi="Times New Roman"/>
          <w:b/>
          <w:sz w:val="28"/>
          <w:szCs w:val="28"/>
        </w:rPr>
        <w:t xml:space="preserve">Новосибирск, ул. </w:t>
      </w:r>
      <w:r>
        <w:rPr>
          <w:rFonts w:ascii="Times New Roman" w:hAnsi="Times New Roman"/>
          <w:b/>
          <w:sz w:val="28"/>
          <w:szCs w:val="28"/>
        </w:rPr>
        <w:t xml:space="preserve">Ипподромская</w:t>
      </w:r>
      <w:r>
        <w:rPr>
          <w:rFonts w:ascii="Times New Roman" w:hAnsi="Times New Roman"/>
          <w:b/>
          <w:sz w:val="28"/>
          <w:szCs w:val="28"/>
        </w:rPr>
        <w:t xml:space="preserve">, д. 18.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777"/>
        <w:ind w:left="0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Ахапов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.1. 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ринять к сведению </w:t>
      </w:r>
      <w:r>
        <w:rPr>
          <w:rFonts w:ascii="Times New Roman" w:hAnsi="Times New Roman" w:cs="Times New Roman"/>
          <w:sz w:val="28"/>
          <w:szCs w:val="28"/>
        </w:rPr>
        <w:t xml:space="preserve">информацию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Ахапова</w:t>
      </w:r>
      <w:r>
        <w:rPr>
          <w:rFonts w:ascii="Times New Roman" w:hAnsi="Times New Roman" w:cs="Times New Roman"/>
          <w:sz w:val="28"/>
          <w:szCs w:val="28"/>
        </w:rPr>
        <w:t xml:space="preserve"> С.А.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министра физической культуры и спорта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 xml:space="preserve"> согласовании передачи областного имущества в безвозмездное пользование общественной организации «Федерация </w:t>
      </w:r>
      <w:r>
        <w:rPr>
          <w:rFonts w:ascii="Times New Roman" w:hAnsi="Times New Roman" w:cs="Times New Roman"/>
          <w:sz w:val="28"/>
          <w:szCs w:val="28"/>
        </w:rPr>
        <w:t xml:space="preserve">волейбола Новосибирской области» в части имущества, расположенного по адресу: г. Новосибирск, ул. </w:t>
      </w:r>
      <w:r>
        <w:rPr>
          <w:rFonts w:ascii="Times New Roman" w:hAnsi="Times New Roman" w:cs="Times New Roman"/>
          <w:sz w:val="28"/>
          <w:szCs w:val="28"/>
        </w:rPr>
        <w:t xml:space="preserve">Ипподромская</w:t>
      </w:r>
      <w:r>
        <w:rPr>
          <w:rFonts w:ascii="Times New Roman" w:hAnsi="Times New Roman" w:cs="Times New Roman"/>
          <w:sz w:val="28"/>
          <w:szCs w:val="28"/>
        </w:rPr>
        <w:t xml:space="preserve">, д. 18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.2. 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учётом положительного решения комитета Законодательного Собрания Новосибирской области по культуре, образованию, науке, спорту и молодежной политике согласиться с передачей в безвозмездное пользование части нежилого помещения площадью 2 </w:t>
      </w:r>
      <w:r>
        <w:rPr>
          <w:rFonts w:ascii="Times New Roman" w:hAnsi="Times New Roman" w:cs="Times New Roman"/>
          <w:sz w:val="28"/>
          <w:szCs w:val="28"/>
        </w:rPr>
        <w:t xml:space="preserve">кв.м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расположенного </w:t>
      </w:r>
      <w:r>
        <w:rPr>
          <w:rFonts w:ascii="Times New Roman" w:hAnsi="Times New Roman" w:cs="Times New Roman"/>
          <w:sz w:val="28"/>
          <w:szCs w:val="28"/>
        </w:rPr>
        <w:t xml:space="preserve">в здании</w:t>
      </w:r>
      <w:r>
        <w:rPr>
          <w:rFonts w:ascii="Times New Roman" w:hAnsi="Times New Roman" w:cs="Times New Roman"/>
          <w:sz w:val="28"/>
          <w:szCs w:val="28"/>
        </w:rPr>
        <w:t xml:space="preserve"> спортивного комплекса «Региональный центр волейбола</w:t>
      </w:r>
      <w:r>
        <w:rPr>
          <w:rFonts w:ascii="Times New Roman" w:hAnsi="Times New Roman" w:cs="Times New Roman"/>
          <w:sz w:val="28"/>
          <w:szCs w:val="28"/>
        </w:rPr>
        <w:t xml:space="preserve">», по адресу: г. </w:t>
      </w:r>
      <w:r>
        <w:rPr>
          <w:rFonts w:ascii="Times New Roman" w:hAnsi="Times New Roman" w:cs="Times New Roman"/>
          <w:sz w:val="28"/>
          <w:szCs w:val="28"/>
        </w:rPr>
        <w:t xml:space="preserve">Новосибирск, ул.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Ипподромская</w:t>
      </w:r>
      <w:r>
        <w:rPr>
          <w:rFonts w:ascii="Times New Roman" w:hAnsi="Times New Roman" w:cs="Times New Roman"/>
          <w:sz w:val="28"/>
          <w:szCs w:val="28"/>
        </w:rPr>
        <w:t xml:space="preserve">, д.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18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второй этаж; номер на поэтажном плане: 19)</w:t>
      </w:r>
      <w:r>
        <w:rPr>
          <w:rFonts w:ascii="Times New Roman" w:hAnsi="Times New Roman" w:cs="Times New Roman"/>
          <w:sz w:val="28"/>
          <w:szCs w:val="28"/>
        </w:rPr>
        <w:t xml:space="preserve">, находящегося в государственной собственности Новосибирской области и закрепленного на праве оперативного управления за государственным автономным учреждением дополнительного образования Новосибирской области «Спортивная школа по волейболу»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бщественной организации «Федерация волейбола Новосибирской области» с целью организации рабочего места сроком на 3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</w:t>
      </w:r>
      <w:r>
        <w:rPr>
          <w:rFonts w:ascii="Times New Roman" w:hAnsi="Times New Roman"/>
          <w:b/>
          <w:sz w:val="28"/>
          <w:szCs w:val="28"/>
        </w:rPr>
        <w:t xml:space="preserve">. Об отчете об исполнении государственной программы Новосибирской области «Развитие субъектов малого и среднего предпринимательства в Новосибирской области» за 2024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  <w:r>
        <w:rPr>
          <w:rFonts w:ascii="Times New Roman" w:hAnsi="Times New Roman"/>
          <w:b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Червов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В.Д.,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Диденко И.В.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Франчук Д.В., Гончаров А.А.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Гончаров</w:t>
      </w:r>
      <w:r>
        <w:rPr>
          <w:rFonts w:ascii="Times New Roman" w:hAnsi="Times New Roman" w:cs="Times New Roman"/>
          <w:sz w:val="28"/>
          <w:szCs w:val="28"/>
        </w:rPr>
        <w:t xml:space="preserve">а А.А.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министра промышленности торговли и развития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об исполнен</w:t>
      </w:r>
      <w:r>
        <w:rPr>
          <w:rFonts w:ascii="Times New Roman" w:hAnsi="Times New Roman" w:cs="Times New Roman"/>
          <w:sz w:val="28"/>
          <w:szCs w:val="28"/>
        </w:rPr>
        <w:t xml:space="preserve">ии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программы Новосибирской области «Развитие субъектов малого и среднего предпринимательства в Новосибирской области» за 2024 год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</w:t>
      </w:r>
      <w:r>
        <w:rPr>
          <w:rFonts w:ascii="Times New Roman" w:hAnsi="Times New Roman"/>
          <w:b/>
          <w:sz w:val="28"/>
          <w:szCs w:val="28"/>
        </w:rPr>
        <w:t xml:space="preserve">0</w:t>
      </w:r>
      <w:r>
        <w:rPr>
          <w:rFonts w:ascii="Times New Roman" w:hAnsi="Times New Roman"/>
          <w:b/>
          <w:sz w:val="28"/>
          <w:szCs w:val="28"/>
        </w:rPr>
        <w:t xml:space="preserve">. О награждении.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Франчук Дмитрий Вадимович</w:t>
      </w:r>
      <w:r>
        <w:rPr>
          <w:rFonts w:ascii="Times New Roman" w:hAnsi="Times New Roman"/>
          <w:sz w:val="28"/>
          <w:szCs w:val="28"/>
        </w:rPr>
        <w:t xml:space="preserve">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9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 Попову Галину Алексеевну, директора Новосибирского филиала АО «Издательского дома «Комсомольская правда»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за большой вклад в развитие культуры и средств массовой информации Новосибирской области, профессиональное мастерство и многолетний добросовестный труд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4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Почетной грамотой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Чудимову</w:t>
      </w:r>
      <w:r>
        <w:rPr>
          <w:rFonts w:ascii="Times New Roman" w:hAnsi="Times New Roman" w:cs="Times New Roman"/>
          <w:sz w:val="28"/>
          <w:szCs w:val="28"/>
        </w:rPr>
        <w:t xml:space="preserve"> Татьяну Николаевну, финансового директора Новосибирского филиала АО «Издательского дома «Комсомольская правда»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многолетний добросовестный труд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высокие показатели в профессиональной деятельности.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</w:t>
      </w:r>
      <w:r>
        <w:rPr>
          <w:rFonts w:ascii="Times New Roman" w:hAnsi="Times New Roman" w:cs="Times New Roman"/>
          <w:sz w:val="28"/>
          <w:szCs w:val="28"/>
        </w:rPr>
        <w:t xml:space="preserve">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7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25 апреля</w:t>
      </w:r>
      <w:r>
        <w:rPr>
          <w:rFonts w:ascii="Times New Roman" w:hAnsi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ПОСТАНОВЛЕНИЕ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НОВОСИБИРСКОЙ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седьм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ого созыва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(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пятьдесят седьм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сессия)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3044"/>
        <w:gridCol w:w="1935"/>
        <w:gridCol w:w="3935"/>
        <w:gridCol w:w="1047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11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197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W w:w="4019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1067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годовом отчете о деятельности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ты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в соответствии с Законом Новосибирской области от 7 ноября 2011 года №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131-ОЗ «О Контрольно-счетной палате Новосибирской области» годовой отчет о деятельности Контрольно-счетной пал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ты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ПОСТАНОВЛЯЕТ: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Принять к сведению годовой отчет о деятельности Контрольно-счетной пал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ты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</w:t>
      </w:r>
      <w:r>
        <w:rPr>
          <w:rFonts w:ascii="Times New Roman" w:hAnsi="Times New Roman" w:cs="Times New Roman"/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Отметить в</w:t>
      </w:r>
      <w:r>
        <w:rPr>
          <w:rFonts w:ascii="Times New Roman" w:hAnsi="Times New Roman" w:cs="Times New Roman"/>
          <w:sz w:val="28"/>
          <w:szCs w:val="28"/>
        </w:rPr>
        <w:t xml:space="preserve">ысок</w:t>
      </w:r>
      <w:r>
        <w:rPr>
          <w:rFonts w:ascii="Times New Roman" w:hAnsi="Times New Roman" w:cs="Times New Roman"/>
          <w:sz w:val="28"/>
          <w:szCs w:val="28"/>
        </w:rPr>
        <w:t xml:space="preserve">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уровень взаимодействия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Контрольно-счетной палаты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t xml:space="preserve">. 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и годовой отчет о деятельности Контрольно-счетной пал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ты Новосибирской области за 202</w:t>
      </w:r>
      <w:r>
        <w:rPr>
          <w:rFonts w:ascii="Times New Roman" w:hAnsi="Times New Roman" w:cs="Times New Roman"/>
          <w:sz w:val="28"/>
          <w:szCs w:val="28"/>
        </w:rPr>
        <w:t xml:space="preserve">4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сетевом издании «Сайт Законодательного Собрания Новосибирской области. Нормативные правовые акты» (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npazsnso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bCs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_595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</w:t>
      </w:r>
      <w:r>
        <w:rPr>
          <w:rFonts w:ascii="Times New Roman" w:hAnsi="Times New Roman" w:cs="Times New Roman"/>
        </w:rPr>
        <w:t xml:space="preserve">. Настоящее постановление вступает в силу со дня его принятия.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018"/>
        <w:gridCol w:w="4943"/>
      </w:tblGrid>
      <w:tr>
        <w:tblPrEx/>
        <w:trPr/>
        <w:tc>
          <w:tcPr>
            <w:tcW w:w="521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5211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Шимкив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Style w:val="7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8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25 апреля</w:t>
      </w:r>
      <w:r>
        <w:rPr>
          <w:rFonts w:ascii="Times New Roman" w:hAnsi="Times New Roman"/>
          <w:sz w:val="28"/>
          <w:szCs w:val="28"/>
        </w:rPr>
        <w:t xml:space="preserve">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7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8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Ахапов</w:t>
      </w:r>
      <w:r>
        <w:rPr>
          <w:rFonts w:ascii="Times New Roman" w:hAnsi="Times New Roman"/>
          <w:sz w:val="28"/>
          <w:szCs w:val="28"/>
        </w:rPr>
        <w:t xml:space="preserve"> Сергей Александрович – министр физической культуры и спорта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Николаевич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 Андрей Александрович – министр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Деев Владимир Геннадьевич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культуры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Знатков</w:t>
      </w:r>
      <w:r>
        <w:rPr>
          <w:rFonts w:ascii="Times New Roman" w:hAnsi="Times New Roman"/>
          <w:sz w:val="28"/>
          <w:szCs w:val="28"/>
        </w:rPr>
        <w:t xml:space="preserve">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Владимировна,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Карпекин</w:t>
      </w:r>
      <w:r>
        <w:rPr>
          <w:rFonts w:ascii="Times New Roman" w:hAnsi="Times New Roman"/>
          <w:iCs/>
          <w:sz w:val="28"/>
          <w:szCs w:val="28"/>
        </w:rPr>
        <w:t xml:space="preserve"> Сергей Вадимович – президент МОО «Межрегиональная ассоциация руководителей предприятий»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Кирилов Денис Юрьевич – помощник Уполномоченного по защите прав предпринимателей в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Костылевский</w:t>
      </w:r>
      <w:r>
        <w:rPr>
          <w:rFonts w:ascii="Times New Roman" w:hAnsi="Times New Roman"/>
          <w:sz w:val="28"/>
          <w:szCs w:val="28"/>
        </w:rPr>
        <w:t xml:space="preserve">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Курганова Екатерина Владимировна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министра науки и инновационной политики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Москалева Ека</w:t>
      </w:r>
      <w:r>
        <w:rPr>
          <w:rFonts w:ascii="Times New Roman" w:hAnsi="Times New Roman"/>
          <w:sz w:val="28"/>
          <w:szCs w:val="28"/>
        </w:rPr>
        <w:t xml:space="preserve">терина Михайловна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труда и социального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Москалец</w:t>
      </w:r>
      <w:r>
        <w:rPr>
          <w:rFonts w:ascii="Times New Roman" w:hAnsi="Times New Roman"/>
          <w:sz w:val="28"/>
          <w:szCs w:val="28"/>
        </w:rPr>
        <w:t xml:space="preserve"> Елена Алексеевна – заместитель руководителя Управления Федеральной налоговой службы России по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Мартынов Сергей Николаевич – аудитор </w:t>
      </w:r>
      <w:r>
        <w:rPr>
          <w:rFonts w:ascii="Times New Roman" w:hAnsi="Times New Roman"/>
          <w:sz w:val="28"/>
          <w:szCs w:val="28"/>
        </w:rPr>
        <w:t xml:space="preserve">Контрольно-счетной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жилищно-коммунального 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Подковырин</w:t>
      </w:r>
      <w:r>
        <w:rPr>
          <w:rFonts w:ascii="Times New Roman" w:hAnsi="Times New Roman"/>
          <w:sz w:val="28"/>
          <w:szCs w:val="28"/>
        </w:rPr>
        <w:t xml:space="preserve"> Павел Викторович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председателя Контрольно-счетн</w:t>
      </w:r>
      <w:r>
        <w:rPr>
          <w:rFonts w:ascii="Times New Roman" w:hAnsi="Times New Roman"/>
          <w:sz w:val="28"/>
          <w:szCs w:val="28"/>
        </w:rPr>
        <w:t xml:space="preserve">ой палаты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Савостьянов Юрий Иванович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Севастьянов Алексей Валерьевич – заместитель министра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 - начальник управления контрольно-надзорной деятельностью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Симагина Ольга Владимировна – заместитель министра </w:t>
      </w:r>
      <w:r>
        <w:rPr>
          <w:rFonts w:ascii="Times New Roman" w:hAnsi="Times New Roman"/>
          <w:sz w:val="28"/>
          <w:szCs w:val="28"/>
        </w:rPr>
        <w:t xml:space="preserve">экономического развития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</w:t>
      </w:r>
      <w:r>
        <w:rPr>
          <w:rFonts w:ascii="Times New Roman" w:hAnsi="Times New Roman"/>
          <w:sz w:val="28"/>
          <w:szCs w:val="28"/>
          <w:highlight w:val="white"/>
        </w:rPr>
        <w:t xml:space="preserve">и.о</w:t>
      </w:r>
      <w:r>
        <w:rPr>
          <w:rFonts w:ascii="Times New Roman" w:hAnsi="Times New Roman"/>
          <w:sz w:val="28"/>
          <w:szCs w:val="28"/>
          <w:highlight w:val="white"/>
        </w:rPr>
        <w:t xml:space="preserve">.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заместитель начальника управления по надзору за исполнением федерального законодательства прокуратуры Новосибирской области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Цукарь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Швец Инта Петровна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начальника Контрольного управления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Шинделов</w:t>
      </w:r>
      <w:r>
        <w:rPr>
          <w:rFonts w:ascii="Times New Roman" w:hAnsi="Times New Roman"/>
          <w:sz w:val="28"/>
          <w:szCs w:val="28"/>
        </w:rPr>
        <w:t xml:space="preserve"> Андрей Викторович – заместитель Председателя Правительства Новосибирской области - министр сельского хозяйства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77"/>
        <w:numPr>
          <w:ilvl w:val="0"/>
          <w:numId w:val="29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Шовтак</w:t>
      </w:r>
      <w:r>
        <w:rPr>
          <w:rFonts w:ascii="Times New Roman" w:hAnsi="Times New Roman"/>
          <w:sz w:val="28"/>
          <w:szCs w:val="28"/>
        </w:rPr>
        <w:t xml:space="preserve"> Виталий Борисович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1247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5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11</w:t>
    </w:r>
    <w:r>
      <w:fldChar w:fldCharType="end"/>
    </w:r>
    <w:r/>
  </w:p>
  <w:p>
    <w:pPr>
      <w:pStyle w:val="78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"/>
  </w:num>
  <w:num w:numId="5">
    <w:abstractNumId w:val="17"/>
  </w:num>
  <w:num w:numId="6">
    <w:abstractNumId w:val="28"/>
  </w:num>
  <w:num w:numId="7">
    <w:abstractNumId w:val="11"/>
  </w:num>
  <w:num w:numId="8">
    <w:abstractNumId w:val="24"/>
  </w:num>
  <w:num w:numId="9">
    <w:abstractNumId w:val="18"/>
  </w:num>
  <w:num w:numId="10">
    <w:abstractNumId w:val="22"/>
  </w:num>
  <w:num w:numId="11">
    <w:abstractNumId w:val="21"/>
  </w:num>
  <w:num w:numId="12">
    <w:abstractNumId w:val="9"/>
  </w:num>
  <w:num w:numId="13">
    <w:abstractNumId w:val="15"/>
  </w:num>
  <w:num w:numId="14">
    <w:abstractNumId w:val="5"/>
  </w:num>
  <w:num w:numId="15">
    <w:abstractNumId w:val="27"/>
  </w:num>
  <w:num w:numId="16">
    <w:abstractNumId w:val="19"/>
  </w:num>
  <w:num w:numId="17">
    <w:abstractNumId w:val="25"/>
  </w:num>
  <w:num w:numId="18">
    <w:abstractNumId w:val="16"/>
  </w:num>
  <w:num w:numId="19">
    <w:abstractNumId w:val="14"/>
  </w:num>
  <w:num w:numId="20">
    <w:abstractNumId w:val="12"/>
  </w:num>
  <w:num w:numId="21">
    <w:abstractNumId w:val="26"/>
  </w:num>
  <w:num w:numId="22">
    <w:abstractNumId w:val="4"/>
  </w:num>
  <w:num w:numId="23">
    <w:abstractNumId w:val="20"/>
  </w:num>
  <w:num w:numId="24">
    <w:abstractNumId w:val="6"/>
  </w:num>
  <w:num w:numId="25">
    <w:abstractNumId w:val="23"/>
  </w:num>
  <w:num w:numId="26">
    <w:abstractNumId w:val="10"/>
  </w:num>
  <w:num w:numId="27">
    <w:abstractNumId w:val="0"/>
  </w:num>
  <w:num w:numId="28">
    <w:abstractNumId w:val="2"/>
  </w:num>
  <w:num w:numId="29">
    <w:abstractNumId w:val="7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8" w:default="1">
    <w:name w:val="Normal"/>
  </w:style>
  <w:style w:type="paragraph" w:styleId="739">
    <w:name w:val="Heading 1"/>
    <w:basedOn w:val="738"/>
    <w:next w:val="738"/>
    <w:link w:val="768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40">
    <w:name w:val="Heading 2"/>
    <w:basedOn w:val="738"/>
    <w:next w:val="738"/>
    <w:link w:val="769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41">
    <w:name w:val="Heading 3"/>
    <w:basedOn w:val="738"/>
    <w:next w:val="738"/>
    <w:link w:val="770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42">
    <w:name w:val="Heading 4"/>
    <w:basedOn w:val="738"/>
    <w:next w:val="738"/>
    <w:link w:val="771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43">
    <w:name w:val="Heading 5"/>
    <w:basedOn w:val="738"/>
    <w:next w:val="738"/>
    <w:link w:val="772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44">
    <w:name w:val="Heading 6"/>
    <w:basedOn w:val="738"/>
    <w:next w:val="738"/>
    <w:link w:val="773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45">
    <w:name w:val="Heading 7"/>
    <w:basedOn w:val="738"/>
    <w:next w:val="738"/>
    <w:link w:val="77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46">
    <w:name w:val="Heading 8"/>
    <w:basedOn w:val="738"/>
    <w:next w:val="738"/>
    <w:link w:val="775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47">
    <w:name w:val="Heading 9"/>
    <w:basedOn w:val="738"/>
    <w:next w:val="738"/>
    <w:link w:val="776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character" w:styleId="751" w:customStyle="1">
    <w:name w:val="Heading 1 Char"/>
    <w:basedOn w:val="748"/>
    <w:uiPriority w:val="9"/>
    <w:rPr>
      <w:rFonts w:ascii="Arial" w:hAnsi="Arial" w:eastAsia="Arial" w:cs="Arial"/>
      <w:sz w:val="40"/>
      <w:szCs w:val="40"/>
    </w:rPr>
  </w:style>
  <w:style w:type="character" w:styleId="752" w:customStyle="1">
    <w:name w:val="Heading 2 Char"/>
    <w:basedOn w:val="748"/>
    <w:uiPriority w:val="9"/>
    <w:rPr>
      <w:rFonts w:ascii="Arial" w:hAnsi="Arial" w:eastAsia="Arial" w:cs="Arial"/>
      <w:sz w:val="34"/>
    </w:rPr>
  </w:style>
  <w:style w:type="character" w:styleId="753" w:customStyle="1">
    <w:name w:val="Heading 3 Char"/>
    <w:basedOn w:val="748"/>
    <w:uiPriority w:val="9"/>
    <w:rPr>
      <w:rFonts w:ascii="Arial" w:hAnsi="Arial" w:eastAsia="Arial" w:cs="Arial"/>
      <w:sz w:val="30"/>
      <w:szCs w:val="30"/>
    </w:rPr>
  </w:style>
  <w:style w:type="character" w:styleId="754" w:customStyle="1">
    <w:name w:val="Heading 4 Char"/>
    <w:basedOn w:val="748"/>
    <w:uiPriority w:val="9"/>
    <w:rPr>
      <w:rFonts w:ascii="Arial" w:hAnsi="Arial" w:eastAsia="Arial" w:cs="Arial"/>
      <w:b/>
      <w:bCs/>
      <w:sz w:val="26"/>
      <w:szCs w:val="26"/>
    </w:rPr>
  </w:style>
  <w:style w:type="character" w:styleId="755" w:customStyle="1">
    <w:name w:val="Heading 5 Char"/>
    <w:basedOn w:val="748"/>
    <w:uiPriority w:val="9"/>
    <w:rPr>
      <w:rFonts w:ascii="Arial" w:hAnsi="Arial" w:eastAsia="Arial" w:cs="Arial"/>
      <w:b/>
      <w:bCs/>
      <w:sz w:val="24"/>
      <w:szCs w:val="24"/>
    </w:rPr>
  </w:style>
  <w:style w:type="character" w:styleId="756" w:customStyle="1">
    <w:name w:val="Heading 6 Char"/>
    <w:basedOn w:val="748"/>
    <w:uiPriority w:val="9"/>
    <w:rPr>
      <w:rFonts w:ascii="Arial" w:hAnsi="Arial" w:eastAsia="Arial" w:cs="Arial"/>
      <w:b/>
      <w:bCs/>
      <w:sz w:val="22"/>
      <w:szCs w:val="22"/>
    </w:rPr>
  </w:style>
  <w:style w:type="character" w:styleId="757" w:customStyle="1">
    <w:name w:val="Heading 7 Char"/>
    <w:basedOn w:val="74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8" w:customStyle="1">
    <w:name w:val="Heading 8 Char"/>
    <w:basedOn w:val="748"/>
    <w:uiPriority w:val="9"/>
    <w:rPr>
      <w:rFonts w:ascii="Arial" w:hAnsi="Arial" w:eastAsia="Arial" w:cs="Arial"/>
      <w:i/>
      <w:iCs/>
      <w:sz w:val="22"/>
      <w:szCs w:val="22"/>
    </w:rPr>
  </w:style>
  <w:style w:type="character" w:styleId="759" w:customStyle="1">
    <w:name w:val="Heading 9 Char"/>
    <w:basedOn w:val="748"/>
    <w:uiPriority w:val="9"/>
    <w:rPr>
      <w:rFonts w:ascii="Arial" w:hAnsi="Arial" w:eastAsia="Arial" w:cs="Arial"/>
      <w:i/>
      <w:iCs/>
      <w:sz w:val="21"/>
      <w:szCs w:val="21"/>
    </w:rPr>
  </w:style>
  <w:style w:type="character" w:styleId="760" w:customStyle="1">
    <w:name w:val="Title Char"/>
    <w:basedOn w:val="748"/>
    <w:uiPriority w:val="10"/>
    <w:rPr>
      <w:sz w:val="48"/>
      <w:szCs w:val="48"/>
    </w:rPr>
  </w:style>
  <w:style w:type="character" w:styleId="761" w:customStyle="1">
    <w:name w:val="Subtitle Char"/>
    <w:basedOn w:val="748"/>
    <w:uiPriority w:val="11"/>
    <w:rPr>
      <w:sz w:val="24"/>
      <w:szCs w:val="24"/>
    </w:rPr>
  </w:style>
  <w:style w:type="character" w:styleId="762" w:customStyle="1">
    <w:name w:val="Quote Char"/>
    <w:uiPriority w:val="29"/>
    <w:rPr>
      <w:i/>
    </w:rPr>
  </w:style>
  <w:style w:type="character" w:styleId="763" w:customStyle="1">
    <w:name w:val="Intense Quote Char"/>
    <w:uiPriority w:val="30"/>
    <w:rPr>
      <w:i/>
    </w:rPr>
  </w:style>
  <w:style w:type="character" w:styleId="764" w:customStyle="1">
    <w:name w:val="Header Char"/>
    <w:basedOn w:val="748"/>
    <w:uiPriority w:val="99"/>
  </w:style>
  <w:style w:type="character" w:styleId="765" w:customStyle="1">
    <w:name w:val="Caption Char"/>
    <w:uiPriority w:val="99"/>
  </w:style>
  <w:style w:type="character" w:styleId="766" w:customStyle="1">
    <w:name w:val="Footnote Text Char"/>
    <w:uiPriority w:val="99"/>
    <w:rPr>
      <w:sz w:val="18"/>
    </w:rPr>
  </w:style>
  <w:style w:type="character" w:styleId="767" w:customStyle="1">
    <w:name w:val="Endnote Text Char"/>
    <w:uiPriority w:val="99"/>
    <w:rPr>
      <w:sz w:val="20"/>
    </w:rPr>
  </w:style>
  <w:style w:type="character" w:styleId="768" w:customStyle="1">
    <w:name w:val="Заголовок 1 Знак"/>
    <w:link w:val="739"/>
    <w:uiPriority w:val="9"/>
    <w:rPr>
      <w:rFonts w:ascii="Arial" w:hAnsi="Arial" w:eastAsia="Arial" w:cs="Arial"/>
      <w:sz w:val="40"/>
      <w:szCs w:val="40"/>
    </w:rPr>
  </w:style>
  <w:style w:type="character" w:styleId="769" w:customStyle="1">
    <w:name w:val="Заголовок 2 Знак"/>
    <w:link w:val="740"/>
    <w:uiPriority w:val="9"/>
    <w:rPr>
      <w:rFonts w:ascii="Arial" w:hAnsi="Arial" w:eastAsia="Arial" w:cs="Arial"/>
      <w:sz w:val="34"/>
    </w:rPr>
  </w:style>
  <w:style w:type="character" w:styleId="770" w:customStyle="1">
    <w:name w:val="Заголовок 3 Знак"/>
    <w:link w:val="741"/>
    <w:uiPriority w:val="9"/>
    <w:rPr>
      <w:rFonts w:ascii="Arial" w:hAnsi="Arial" w:eastAsia="Arial" w:cs="Arial"/>
      <w:sz w:val="30"/>
      <w:szCs w:val="30"/>
    </w:rPr>
  </w:style>
  <w:style w:type="character" w:styleId="771" w:customStyle="1">
    <w:name w:val="Заголовок 4 Знак"/>
    <w:link w:val="742"/>
    <w:uiPriority w:val="9"/>
    <w:rPr>
      <w:rFonts w:ascii="Arial" w:hAnsi="Arial" w:eastAsia="Arial" w:cs="Arial"/>
      <w:b/>
      <w:bCs/>
      <w:sz w:val="26"/>
      <w:szCs w:val="26"/>
    </w:rPr>
  </w:style>
  <w:style w:type="character" w:styleId="772" w:customStyle="1">
    <w:name w:val="Заголовок 5 Знак"/>
    <w:link w:val="743"/>
    <w:uiPriority w:val="9"/>
    <w:rPr>
      <w:rFonts w:ascii="Arial" w:hAnsi="Arial" w:eastAsia="Arial" w:cs="Arial"/>
      <w:b/>
      <w:bCs/>
      <w:sz w:val="24"/>
      <w:szCs w:val="24"/>
    </w:rPr>
  </w:style>
  <w:style w:type="character" w:styleId="773" w:customStyle="1">
    <w:name w:val="Заголовок 6 Знак"/>
    <w:link w:val="744"/>
    <w:uiPriority w:val="9"/>
    <w:rPr>
      <w:rFonts w:ascii="Arial" w:hAnsi="Arial" w:eastAsia="Arial" w:cs="Arial"/>
      <w:b/>
      <w:bCs/>
      <w:sz w:val="22"/>
      <w:szCs w:val="22"/>
    </w:rPr>
  </w:style>
  <w:style w:type="character" w:styleId="774" w:customStyle="1">
    <w:name w:val="Заголовок 7 Знак"/>
    <w:link w:val="74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5" w:customStyle="1">
    <w:name w:val="Заголовок 8 Знак"/>
    <w:link w:val="746"/>
    <w:uiPriority w:val="9"/>
    <w:rPr>
      <w:rFonts w:ascii="Arial" w:hAnsi="Arial" w:eastAsia="Arial" w:cs="Arial"/>
      <w:i/>
      <w:iCs/>
      <w:sz w:val="22"/>
      <w:szCs w:val="22"/>
    </w:rPr>
  </w:style>
  <w:style w:type="character" w:styleId="776" w:customStyle="1">
    <w:name w:val="Заголовок 9 Знак"/>
    <w:link w:val="747"/>
    <w:uiPriority w:val="9"/>
    <w:rPr>
      <w:rFonts w:ascii="Arial" w:hAnsi="Arial" w:eastAsia="Arial" w:cs="Arial"/>
      <w:i/>
      <w:iCs/>
      <w:sz w:val="21"/>
      <w:szCs w:val="21"/>
    </w:rPr>
  </w:style>
  <w:style w:type="paragraph" w:styleId="777">
    <w:name w:val="List Paragraph"/>
    <w:basedOn w:val="738"/>
    <w:uiPriority w:val="34"/>
    <w:qFormat/>
    <w:pPr>
      <w:contextualSpacing/>
      <w:ind w:left="720"/>
    </w:pPr>
  </w:style>
  <w:style w:type="paragraph" w:styleId="778">
    <w:name w:val="No Spacing"/>
    <w:uiPriority w:val="1"/>
    <w:qFormat/>
    <w:pPr>
      <w:spacing w:after="0" w:line="240" w:lineRule="auto"/>
    </w:pPr>
  </w:style>
  <w:style w:type="character" w:styleId="779" w:customStyle="1">
    <w:name w:val="Заголовок Знак"/>
    <w:link w:val="936"/>
    <w:uiPriority w:val="10"/>
    <w:rPr>
      <w:sz w:val="48"/>
      <w:szCs w:val="48"/>
    </w:rPr>
  </w:style>
  <w:style w:type="character" w:styleId="780" w:customStyle="1">
    <w:name w:val="Подзаголовок Знак"/>
    <w:link w:val="937"/>
    <w:uiPriority w:val="11"/>
    <w:rPr>
      <w:sz w:val="24"/>
      <w:szCs w:val="24"/>
    </w:rPr>
  </w:style>
  <w:style w:type="paragraph" w:styleId="781">
    <w:name w:val="Quote"/>
    <w:basedOn w:val="738"/>
    <w:next w:val="738"/>
    <w:link w:val="782"/>
    <w:uiPriority w:val="29"/>
    <w:qFormat/>
    <w:pPr>
      <w:ind w:left="720" w:right="720"/>
    </w:pPr>
    <w:rPr>
      <w:i/>
    </w:rPr>
  </w:style>
  <w:style w:type="character" w:styleId="782" w:customStyle="1">
    <w:name w:val="Цитата 2 Знак"/>
    <w:link w:val="781"/>
    <w:uiPriority w:val="29"/>
    <w:rPr>
      <w:i/>
    </w:rPr>
  </w:style>
  <w:style w:type="paragraph" w:styleId="783">
    <w:name w:val="Intense Quote"/>
    <w:basedOn w:val="738"/>
    <w:next w:val="738"/>
    <w:link w:val="78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4" w:customStyle="1">
    <w:name w:val="Выделенная цитата Знак"/>
    <w:link w:val="783"/>
    <w:uiPriority w:val="30"/>
    <w:rPr>
      <w:i/>
    </w:rPr>
  </w:style>
  <w:style w:type="paragraph" w:styleId="785">
    <w:name w:val="Header"/>
    <w:basedOn w:val="738"/>
    <w:link w:val="7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6" w:customStyle="1">
    <w:name w:val="Верхний колонтитул Знак"/>
    <w:link w:val="785"/>
    <w:uiPriority w:val="99"/>
  </w:style>
  <w:style w:type="paragraph" w:styleId="787">
    <w:name w:val="Footer"/>
    <w:basedOn w:val="738"/>
    <w:link w:val="79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8" w:customStyle="1">
    <w:name w:val="Footer Char"/>
    <w:uiPriority w:val="99"/>
  </w:style>
  <w:style w:type="paragraph" w:styleId="789">
    <w:name w:val="Caption"/>
    <w:basedOn w:val="738"/>
    <w:next w:val="73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90" w:customStyle="1">
    <w:name w:val="Нижний колонтитул Знак"/>
    <w:link w:val="787"/>
    <w:uiPriority w:val="99"/>
  </w:style>
  <w:style w:type="table" w:styleId="791">
    <w:name w:val="Table Grid"/>
    <w:basedOn w:val="749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92" w:customStyle="1">
    <w:name w:val="Table Grid Light"/>
    <w:basedOn w:val="74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93">
    <w:name w:val="Plain Table 1"/>
    <w:basedOn w:val="749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4">
    <w:name w:val="Plain Table 2"/>
    <w:basedOn w:val="749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6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8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 w:customStyle="1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 w:customStyle="1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 w:customStyle="1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 w:customStyle="1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0" w:customStyle="1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21" w:customStyle="1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22" w:customStyle="1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3" w:customStyle="1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4" w:customStyle="1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5" w:customStyle="1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6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27" w:customStyle="1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28" w:customStyle="1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29" w:customStyle="1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30" w:customStyle="1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31" w:customStyle="1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32" w:customStyle="1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33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4" w:customStyle="1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5" w:customStyle="1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6" w:customStyle="1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7" w:customStyle="1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8" w:customStyle="1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9" w:customStyle="1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40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8" w:customStyle="1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9" w:customStyle="1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60" w:customStyle="1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61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 w:customStyle="1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 w:customStyle="1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0" w:customStyle="1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1" w:customStyle="1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2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3" w:customStyle="1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4" w:customStyle="1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5" w:customStyle="1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6" w:customStyle="1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7" w:customStyle="1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8" w:customStyle="1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9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0" w:customStyle="1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1" w:customStyle="1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2" w:customStyle="1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3" w:customStyle="1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4" w:customStyle="1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5" w:customStyle="1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96" w:customStyle="1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7" w:customStyle="1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8" w:customStyle="1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9" w:customStyle="1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0" w:customStyle="1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1" w:customStyle="1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2" w:customStyle="1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3" w:customStyle="1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4" w:customStyle="1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5" w:customStyle="1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6" w:customStyle="1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7" w:customStyle="1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8" w:customStyle="1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9" w:customStyle="1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0" w:customStyle="1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11" w:customStyle="1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12" w:customStyle="1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3" w:customStyle="1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4" w:customStyle="1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5" w:customStyle="1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6" w:customStyle="1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7">
    <w:name w:val="Hyperlink"/>
    <w:uiPriority w:val="99"/>
    <w:unhideWhenUsed/>
    <w:rPr>
      <w:color w:val="0000ff" w:themeColor="hyperlink"/>
      <w:u w:val="single"/>
    </w:rPr>
  </w:style>
  <w:style w:type="paragraph" w:styleId="918">
    <w:name w:val="footnote text"/>
    <w:basedOn w:val="738"/>
    <w:link w:val="919"/>
    <w:uiPriority w:val="99"/>
    <w:semiHidden/>
    <w:unhideWhenUsed/>
    <w:pPr>
      <w:spacing w:after="40" w:line="240" w:lineRule="auto"/>
    </w:pPr>
    <w:rPr>
      <w:sz w:val="18"/>
    </w:rPr>
  </w:style>
  <w:style w:type="character" w:styleId="919" w:customStyle="1">
    <w:name w:val="Текст сноски Знак"/>
    <w:link w:val="918"/>
    <w:uiPriority w:val="99"/>
    <w:rPr>
      <w:sz w:val="18"/>
    </w:rPr>
  </w:style>
  <w:style w:type="character" w:styleId="920">
    <w:name w:val="footnote reference"/>
    <w:uiPriority w:val="99"/>
    <w:unhideWhenUsed/>
    <w:rPr>
      <w:vertAlign w:val="superscript"/>
    </w:rPr>
  </w:style>
  <w:style w:type="paragraph" w:styleId="921">
    <w:name w:val="endnote text"/>
    <w:basedOn w:val="738"/>
    <w:link w:val="922"/>
    <w:uiPriority w:val="99"/>
    <w:semiHidden/>
    <w:unhideWhenUsed/>
    <w:pPr>
      <w:spacing w:after="0" w:line="240" w:lineRule="auto"/>
    </w:pPr>
    <w:rPr>
      <w:sz w:val="20"/>
    </w:rPr>
  </w:style>
  <w:style w:type="character" w:styleId="922" w:customStyle="1">
    <w:name w:val="Текст концевой сноски Знак"/>
    <w:link w:val="921"/>
    <w:uiPriority w:val="99"/>
    <w:rPr>
      <w:sz w:val="20"/>
    </w:rPr>
  </w:style>
  <w:style w:type="character" w:styleId="923">
    <w:name w:val="endnote reference"/>
    <w:uiPriority w:val="99"/>
    <w:semiHidden/>
    <w:unhideWhenUsed/>
    <w:rPr>
      <w:vertAlign w:val="superscript"/>
    </w:rPr>
  </w:style>
  <w:style w:type="paragraph" w:styleId="924">
    <w:name w:val="toc 1"/>
    <w:basedOn w:val="738"/>
    <w:next w:val="738"/>
    <w:uiPriority w:val="39"/>
    <w:unhideWhenUsed/>
    <w:pPr>
      <w:spacing w:after="57"/>
    </w:pPr>
  </w:style>
  <w:style w:type="paragraph" w:styleId="925">
    <w:name w:val="toc 2"/>
    <w:basedOn w:val="738"/>
    <w:next w:val="738"/>
    <w:uiPriority w:val="39"/>
    <w:unhideWhenUsed/>
    <w:pPr>
      <w:ind w:left="283"/>
      <w:spacing w:after="57"/>
    </w:pPr>
  </w:style>
  <w:style w:type="paragraph" w:styleId="926">
    <w:name w:val="toc 3"/>
    <w:basedOn w:val="738"/>
    <w:next w:val="738"/>
    <w:uiPriority w:val="39"/>
    <w:unhideWhenUsed/>
    <w:pPr>
      <w:ind w:left="567"/>
      <w:spacing w:after="57"/>
    </w:pPr>
  </w:style>
  <w:style w:type="paragraph" w:styleId="927">
    <w:name w:val="toc 4"/>
    <w:basedOn w:val="738"/>
    <w:next w:val="738"/>
    <w:uiPriority w:val="39"/>
    <w:unhideWhenUsed/>
    <w:pPr>
      <w:ind w:left="850"/>
      <w:spacing w:after="57"/>
    </w:pPr>
  </w:style>
  <w:style w:type="paragraph" w:styleId="928">
    <w:name w:val="toc 5"/>
    <w:basedOn w:val="738"/>
    <w:next w:val="738"/>
    <w:uiPriority w:val="39"/>
    <w:unhideWhenUsed/>
    <w:pPr>
      <w:ind w:left="1134"/>
      <w:spacing w:after="57"/>
    </w:pPr>
  </w:style>
  <w:style w:type="paragraph" w:styleId="929">
    <w:name w:val="toc 6"/>
    <w:basedOn w:val="738"/>
    <w:next w:val="738"/>
    <w:uiPriority w:val="39"/>
    <w:unhideWhenUsed/>
    <w:pPr>
      <w:ind w:left="1417"/>
      <w:spacing w:after="57"/>
    </w:pPr>
  </w:style>
  <w:style w:type="paragraph" w:styleId="930">
    <w:name w:val="toc 7"/>
    <w:basedOn w:val="738"/>
    <w:next w:val="738"/>
    <w:uiPriority w:val="39"/>
    <w:unhideWhenUsed/>
    <w:pPr>
      <w:ind w:left="1701"/>
      <w:spacing w:after="57"/>
    </w:pPr>
  </w:style>
  <w:style w:type="paragraph" w:styleId="931">
    <w:name w:val="toc 8"/>
    <w:basedOn w:val="738"/>
    <w:next w:val="738"/>
    <w:uiPriority w:val="39"/>
    <w:unhideWhenUsed/>
    <w:pPr>
      <w:ind w:left="1984"/>
      <w:spacing w:after="57"/>
    </w:pPr>
  </w:style>
  <w:style w:type="paragraph" w:styleId="932">
    <w:name w:val="toc 9"/>
    <w:basedOn w:val="738"/>
    <w:next w:val="738"/>
    <w:uiPriority w:val="39"/>
    <w:unhideWhenUsed/>
    <w:pPr>
      <w:ind w:left="2268"/>
      <w:spacing w:after="57"/>
    </w:pPr>
  </w:style>
  <w:style w:type="paragraph" w:styleId="933">
    <w:name w:val="TOC Heading"/>
    <w:uiPriority w:val="39"/>
    <w:unhideWhenUsed/>
  </w:style>
  <w:style w:type="paragraph" w:styleId="934">
    <w:name w:val="table of figures"/>
    <w:basedOn w:val="738"/>
    <w:next w:val="738"/>
    <w:uiPriority w:val="99"/>
    <w:unhideWhenUsed/>
    <w:pPr>
      <w:spacing w:after="0"/>
    </w:pPr>
  </w:style>
  <w:style w:type="table" w:styleId="935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36">
    <w:name w:val="Title"/>
    <w:basedOn w:val="738"/>
    <w:next w:val="738"/>
    <w:link w:val="779"/>
    <w:pPr>
      <w:spacing w:before="300"/>
    </w:pPr>
    <w:rPr>
      <w:sz w:val="48"/>
      <w:szCs w:val="48"/>
    </w:rPr>
  </w:style>
  <w:style w:type="paragraph" w:styleId="937">
    <w:name w:val="Subtitle"/>
    <w:basedOn w:val="738"/>
    <w:next w:val="738"/>
    <w:link w:val="780"/>
    <w:pPr>
      <w:spacing w:before="200"/>
    </w:pPr>
    <w:rPr>
      <w:sz w:val="24"/>
      <w:szCs w:val="24"/>
    </w:rPr>
  </w:style>
  <w:style w:type="table" w:styleId="938" w:customStyle="1">
    <w:name w:val="StGen0"/>
    <w:basedOn w:val="9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39" w:customStyle="1">
    <w:name w:val="StGen1"/>
    <w:basedOn w:val="93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40" w:customStyle="1">
    <w:name w:val="StGen2"/>
    <w:basedOn w:val="935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41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42" w:customStyle="1">
    <w:name w:val="Основной текст (15)_"/>
    <w:rPr>
      <w:spacing w:val="3"/>
      <w:shd w:val="clear" w:color="auto" w:fill="ffffff"/>
    </w:rPr>
  </w:style>
  <w:style w:type="character" w:styleId="943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44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45">
    <w:name w:val="Strong"/>
    <w:uiPriority w:val="22"/>
    <w:qFormat/>
    <w:rPr>
      <w:b/>
      <w:bCs/>
    </w:rPr>
  </w:style>
  <w:style w:type="character" w:styleId="946" w:customStyle="1">
    <w:name w:val="Основной текст (18)_"/>
    <w:link w:val="947"/>
    <w:rPr>
      <w:spacing w:val="7"/>
      <w:shd w:val="clear" w:color="auto" w:fill="ffffff"/>
    </w:rPr>
  </w:style>
  <w:style w:type="paragraph" w:styleId="947" w:customStyle="1">
    <w:name w:val="Основной текст (18)"/>
    <w:basedOn w:val="738"/>
    <w:link w:val="946"/>
    <w:pPr>
      <w:spacing w:before="60" w:after="240" w:line="326" w:lineRule="exact"/>
      <w:shd w:val="clear" w:color="auto" w:fill="ffffff"/>
      <w:widowControl w:val="off"/>
    </w:pPr>
    <w:rPr>
      <w:spacing w:val="7"/>
    </w:rPr>
  </w:style>
  <w:style w:type="paragraph" w:styleId="1_595" w:customStyle="1">
    <w:name w:val="ConsCell"/>
    <w:uiPriority w:val="99"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8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Relationship Id="rId12" Type="http://schemas.openxmlformats.org/officeDocument/2006/relationships/hyperlink" Target="https://old.nso.ru/php/sovetprav_files/files/zakon%2886%29.docx" TargetMode="External"/><Relationship Id="rId13" Type="http://schemas.openxmlformats.org/officeDocument/2006/relationships/hyperlink" Target="https://login.consultant.ru/link/?req=doc&amp;base=RLAW049&amp;n=132693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56</cp:revision>
  <dcterms:created xsi:type="dcterms:W3CDTF">2024-12-18T05:15:00Z</dcterms:created>
  <dcterms:modified xsi:type="dcterms:W3CDTF">2025-06-27T05:37:28Z</dcterms:modified>
</cp:coreProperties>
</file>