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-345457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133777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49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1.30pt;mso-position-horizontal:absolute;mso-position-vertical-relative:text;margin-top:-27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24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февраля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       ул.Кирова,3 малый зал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6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25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 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«Об утверждении заключения Соглашения между Правительством Новосибирской области (Российская Федерация) и </w:t>
      </w:r>
      <w:r>
        <w:rPr>
          <w:rFonts w:ascii="Times New Roman" w:hAnsi="Times New Roman"/>
          <w:b/>
          <w:sz w:val="28"/>
          <w:szCs w:val="28"/>
        </w:rPr>
        <w:t xml:space="preserve">Хокимиятом</w:t>
      </w:r>
      <w:r>
        <w:rPr>
          <w:rFonts w:ascii="Times New Roman" w:hAnsi="Times New Roman"/>
          <w:b/>
          <w:sz w:val="28"/>
          <w:szCs w:val="28"/>
        </w:rPr>
        <w:t xml:space="preserve"> Сурхандарьинской области (Республика Узбекистан) о торгово-экономическом, научно-техническом и социально-культурном сотрудничестве»,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«Об утверждении заключения Соглашения между Правительством Новосибирской области (Российская Федерация) и </w:t>
      </w:r>
      <w:r>
        <w:rPr>
          <w:rFonts w:ascii="Times New Roman" w:hAnsi="Times New Roman" w:cs="Times New Roman"/>
          <w:sz w:val="28"/>
          <w:szCs w:val="28"/>
        </w:rPr>
        <w:t xml:space="preserve">Хокимиятом</w:t>
      </w:r>
      <w:r>
        <w:rPr>
          <w:rFonts w:ascii="Times New Roman" w:hAnsi="Times New Roman" w:cs="Times New Roman"/>
          <w:sz w:val="28"/>
          <w:szCs w:val="28"/>
        </w:rPr>
        <w:t xml:space="preserve"> Сурхандарьинской области (Республика Узбекистан) о торгово-экономическом, научно-техническом и социально-культурном сотрудничестве»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-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 внесении изменения в статьи 8.11 Закона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 1 – поправки, рекомендованные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статью 11 Закона Новосибирской </w:t>
      </w:r>
      <w:r>
        <w:rPr>
          <w:rFonts w:ascii="Times New Roman" w:hAnsi="Times New Roman"/>
          <w:b/>
          <w:sz w:val="28"/>
          <w:szCs w:val="28"/>
        </w:rPr>
        <w:t xml:space="preserve">области «О наделении органов местного самоуправления в Новосибирской области отдельными государственными полномочиями Новосибирской области по расчету и предоставлению дотаций бюджетам поселений на выравнивание бюджетной обеспеченности» и статью 10 Закона </w:t>
      </w:r>
      <w:r>
        <w:rPr>
          <w:rFonts w:ascii="Times New Roman" w:hAnsi="Times New Roman"/>
          <w:b/>
          <w:sz w:val="28"/>
          <w:szCs w:val="28"/>
        </w:rPr>
        <w:t xml:space="preserve">Новосибирской области «О наделении органов местного самоуправления муниципальных районов Новосибирской области отдельными государственными полномочиями Новосибирской области по расчету и предоставлению бюджетам поселений Новосибирской области субвенций на </w:t>
      </w:r>
      <w:r>
        <w:rPr>
          <w:rFonts w:ascii="Times New Roman" w:hAnsi="Times New Roman"/>
          <w:b/>
          <w:sz w:val="28"/>
          <w:szCs w:val="28"/>
        </w:rPr>
        <w:t xml:space="preserve">осуществление полномочий по первичному воинскому учету органами местного самоуправления поселений», второе чтение. </w:t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статью 11 Закона Новосибирской области «О наделении органов местного самоуправления в Новосибирской области отдельными государств</w:t>
      </w:r>
      <w:r>
        <w:rPr>
          <w:rFonts w:ascii="Times New Roman" w:hAnsi="Times New Roman"/>
          <w:sz w:val="28"/>
          <w:szCs w:val="28"/>
        </w:rPr>
        <w:t xml:space="preserve">енными полномочиями Новосибирской области по расчету и предоставлению дотаций бюджетам поселений на выравнивание бюджетной обеспеченности» и статью 10 Закона Новосибирской области «О наделении органов местного самоуправления муниципальных районов Новосибир</w:t>
      </w:r>
      <w:r>
        <w:rPr>
          <w:rFonts w:ascii="Times New Roman" w:hAnsi="Times New Roman"/>
          <w:sz w:val="28"/>
          <w:szCs w:val="28"/>
        </w:rPr>
        <w:t xml:space="preserve">ской области отдельными государственными полномочиями Новосибирской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органами местного самоуправления поселений»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во втором чтении.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5.  </w:t>
      </w:r>
      <w:r>
        <w:rPr>
          <w:rFonts w:ascii="Times New Roman" w:hAnsi="Times New Roman"/>
          <w:b/>
          <w:sz w:val="28"/>
          <w:szCs w:val="28"/>
        </w:rPr>
        <w:t xml:space="preserve">Об отчете Контрольно-счетной палаты Новосибирской области по резуль</w:t>
      </w:r>
      <w:r>
        <w:rPr>
          <w:rFonts w:ascii="Times New Roman" w:hAnsi="Times New Roman"/>
          <w:b/>
          <w:sz w:val="28"/>
          <w:szCs w:val="28"/>
        </w:rPr>
        <w:t xml:space="preserve">татам проверки законности и эффективности использования средств областного бюджета, направленных на строительство (реконструкцию) объектов капитального строительства в рамках реализации региональных проектов в 2022-2023 годах и за текущий период 2024 года.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Круковский Василий Валентинович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Диденко И.В., Тимонов Д.С., Кальченко С.В., Франчук Д.В., Кулинич А.А.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 Принять к сведению информацию </w:t>
      </w:r>
      <w:r>
        <w:rPr>
          <w:rFonts w:ascii="Times New Roman" w:hAnsi="Times New Roman"/>
          <w:sz w:val="28"/>
          <w:szCs w:val="28"/>
        </w:rPr>
        <w:t xml:space="preserve">Круковского В.В. </w:t>
      </w:r>
      <w:r>
        <w:rPr>
          <w:rFonts w:ascii="Times New Roman" w:hAnsi="Times New Roman" w:cs="Times New Roman"/>
          <w:sz w:val="28"/>
          <w:szCs w:val="28"/>
        </w:rPr>
        <w:t xml:space="preserve">– аудитора Контрольно-счетной палаты Новосибирской области по вопросу «Об отчете Контрольно-счетной палаты Новосибирской области по результ</w:t>
      </w:r>
      <w:r>
        <w:rPr>
          <w:rFonts w:ascii="Times New Roman" w:hAnsi="Times New Roman" w:cs="Times New Roman"/>
          <w:sz w:val="28"/>
          <w:szCs w:val="28"/>
        </w:rPr>
        <w:t xml:space="preserve">атам проверки законности и эффективности использования средств областного бюджета, направленных на строительство (реконструкцию) объектов капитального строительства в рамках реализации региональных проектов в 2022-2023 годах и за текущий период 2024 года».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 Согласиться с выводами Контрольно-счетной палаты Новосибирской области и поддержать предложение к Правительству Новосибирской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об установлении сроков передачи застройщику по приему-передачи капитальных вложений (затрат), произведенных заказчиком в процессе проектирования, реконструкции, строительства, в том числе при наличии замечаний у застройщика (эксплуатирующей организации).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 Рекомендовать министерству строительства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целях финансовой экономии и сокращения сроков строительства </w:t>
      </w:r>
      <w:r>
        <w:rPr>
          <w:rStyle w:val="928"/>
          <w:rFonts w:ascii="Times New Roman" w:hAnsi="Times New Roman"/>
          <w:color w:val="000000"/>
          <w:sz w:val="28"/>
          <w:szCs w:val="28"/>
        </w:rPr>
        <w:t xml:space="preserve">использовать в приоритетном порядке типовую проектную документацию объектов капитального строительства и типовые решения при реализации проектов строительства с использованием средств областного бюджета в дальнейшей работе;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Style w:val="928"/>
          <w:rFonts w:ascii="Times New Roman" w:hAnsi="Times New Roman"/>
          <w:sz w:val="28"/>
          <w:szCs w:val="28"/>
        </w:rPr>
        <w:t xml:space="preserve">- совместно с департаментом имущества и земельных отношений Новосибирской области проработать вопрос о сокращении сроков передачи построенных (реконструированных) объектов капитального строительства в муниципальную собственность;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Style w:val="928"/>
          <w:rFonts w:ascii="Times New Roman" w:hAnsi="Times New Roman"/>
          <w:sz w:val="28"/>
          <w:szCs w:val="28"/>
        </w:rPr>
        <w:t xml:space="preserve">- в целях эффективного и своевременного освоения бюджетных ср</w:t>
      </w:r>
      <w:r>
        <w:rPr>
          <w:rStyle w:val="928"/>
          <w:rFonts w:ascii="Times New Roman" w:hAnsi="Times New Roman"/>
          <w:sz w:val="28"/>
          <w:szCs w:val="28"/>
        </w:rPr>
        <w:t xml:space="preserve">едств установить порядок взаимодействия ГКУ НСО «Управление капитального строительства» с органами местного самоуправления муниципальных образований Новосибирской области при проектировании, строительстве (реконструкции) объектов капитального строительства</w:t>
      </w:r>
      <w:r>
        <w:rPr>
          <w:sz w:val="28"/>
          <w:szCs w:val="28"/>
        </w:rPr>
        <w:t xml:space="preserve"> </w:t>
      </w:r>
      <w:r>
        <w:rPr>
          <w:rStyle w:val="928"/>
          <w:rFonts w:ascii="Times New Roman" w:hAnsi="Times New Roman"/>
          <w:sz w:val="28"/>
          <w:szCs w:val="28"/>
        </w:rPr>
        <w:t xml:space="preserve">за счет средств областного бюджета;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Style w:val="928"/>
          <w:rFonts w:ascii="Times New Roman" w:hAnsi="Times New Roman"/>
          <w:sz w:val="28"/>
          <w:szCs w:val="28"/>
        </w:rPr>
        <w:t xml:space="preserve">- проинформировать комитет о результатах </w:t>
      </w:r>
      <w:r>
        <w:rPr>
          <w:rStyle w:val="928"/>
          <w:rFonts w:ascii="Times New Roman" w:hAnsi="Times New Roman"/>
          <w:color w:val="000000"/>
          <w:sz w:val="28"/>
          <w:szCs w:val="28"/>
        </w:rPr>
        <w:t xml:space="preserve">исполнения п.10 Постановления № 205-пр от 21.11.2024 Законодательного Собрания Новосибирской области «О проекте закона Новосибирской области «Об </w:t>
      </w:r>
      <w:r>
        <w:rPr>
          <w:rStyle w:val="928"/>
          <w:rFonts w:ascii="Times New Roman" w:hAnsi="Times New Roman"/>
          <w:color w:val="000000"/>
          <w:sz w:val="28"/>
          <w:szCs w:val="28"/>
        </w:rPr>
        <w:t xml:space="preserve">областном бюджете Новосибирской области на 2025 год и плановый период 2026-2027 годов» в срок до 01.03.2025 года.</w:t>
      </w:r>
      <w:bookmarkStart w:id="1" w:name="undefined"/>
      <w:r>
        <w:rPr>
          <w:sz w:val="28"/>
          <w:szCs w:val="28"/>
        </w:rPr>
      </w:r>
      <w:bookmarkEnd w:id="1"/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заключении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Контрольно-счетной палаты Новосибирской области по результатам анализа реализации государственной программы Новосибирской области «Комплексное развитие сельских территорий в Новосибирской области» в 2020-2023 годах и за текущий период 2024 года.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Саблина Елена Николаевна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Шинделов А.В., Франчук Д.В., Диденко И.В., Тимонов Д.С.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6.1. Принять информацию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Саблиной Е. Н.,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аудитора Контрольно-счетной палаты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к сведению.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6.2. Рекомендовать Правительству Новосибирской области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проработать вопросы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3"/>
        <w:numPr>
          <w:ilvl w:val="0"/>
          <w:numId w:val="11"/>
        </w:numPr>
        <w:ind w:left="0" w:firstLine="709"/>
        <w:jc w:val="both"/>
        <w:spacing w:after="0" w:line="240" w:lineRule="auto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осуществления на региональном уровне функции </w:t>
      </w:r>
      <w:r>
        <w:rPr>
          <w:rFonts w:ascii="Times New Roman" w:hAnsi="Times New Roman" w:cs="Times New Roman"/>
          <w:sz w:val="28"/>
          <w:szCs w:val="28"/>
        </w:rPr>
        <w:t xml:space="preserve">заказчика  (</w:t>
      </w:r>
      <w:r>
        <w:rPr>
          <w:rFonts w:ascii="Times New Roman" w:hAnsi="Times New Roman" w:cs="Times New Roman"/>
          <w:sz w:val="28"/>
          <w:szCs w:val="28"/>
        </w:rPr>
        <w:t xml:space="preserve">определить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и обеспечить межведомственное взаимодействие по строительству объектов в рамках реализации проектов комплексного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территорий</w:t>
      </w:r>
      <w:r>
        <w:rPr>
          <w:rFonts w:ascii="Times New Roman" w:hAnsi="Times New Roman" w:cs="Times New Roman"/>
          <w:sz w:val="28"/>
          <w:szCs w:val="28"/>
        </w:rPr>
        <w:t xml:space="preserve"> и их благоустройства в целях повышения качества разрабатываемой муниципальными образованиями проектно-сметной документации, выполнения строительных работ и снижения рисков несвоевременной реализации проектов;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3"/>
        <w:numPr>
          <w:ilvl w:val="0"/>
          <w:numId w:val="11"/>
        </w:numPr>
        <w:ind w:left="0" w:firstLine="709"/>
        <w:jc w:val="both"/>
        <w:spacing w:after="0" w:line="240" w:lineRule="auto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учесть в планах долгосро</w:t>
      </w:r>
      <w:r>
        <w:rPr>
          <w:rFonts w:ascii="Times New Roman" w:hAnsi="Times New Roman" w:cs="Times New Roman"/>
          <w:sz w:val="28"/>
          <w:szCs w:val="28"/>
        </w:rPr>
        <w:t xml:space="preserve">чного социально-экономического развития опорных населенных пунктов и прилегающих территорий, включающих развитие социальной, транспортной, инженерной и информационно-коммуникационной инфраструктуры, обеспечивающей потребности граждан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применение невостребованной проектно-сметной документации, при реализации проектов комплексного развития сельских </w:t>
      </w:r>
      <w:r>
        <w:rPr>
          <w:rFonts w:ascii="Times New Roman" w:hAnsi="Times New Roman" w:cs="Times New Roman"/>
          <w:sz w:val="28"/>
          <w:szCs w:val="28"/>
        </w:rPr>
        <w:t xml:space="preserve">территорий</w:t>
      </w:r>
      <w:r>
        <w:rPr>
          <w:rFonts w:ascii="Times New Roman" w:hAnsi="Times New Roman" w:cs="Times New Roman"/>
          <w:sz w:val="28"/>
          <w:szCs w:val="28"/>
        </w:rPr>
        <w:t xml:space="preserve">, для создания планируемых объектов в рамках мероприятий других государственных программ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6.3. Рекомендовать министерству </w:t>
      </w:r>
      <w:r>
        <w:rPr>
          <w:rFonts w:ascii="Times New Roman" w:hAnsi="Times New Roman"/>
          <w:sz w:val="28"/>
          <w:szCs w:val="28"/>
          <w:highlight w:val="white"/>
        </w:rPr>
        <w:t xml:space="preserve">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63"/>
        <w:numPr>
          <w:ilvl w:val="0"/>
          <w:numId w:val="10"/>
        </w:numPr>
        <w:ind w:left="0" w:right="0"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учесть замечания и предложения </w:t>
      </w:r>
      <w:r>
        <w:rPr>
          <w:rFonts w:ascii="Times New Roman" w:hAnsi="Times New Roman"/>
          <w:sz w:val="28"/>
          <w:szCs w:val="28"/>
          <w:highlight w:val="white"/>
        </w:rPr>
        <w:t xml:space="preserve">Контрольно-счетной палаты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 том числе, обратить особое внимание на устранение системных нарушений в части </w:t>
      </w:r>
      <w:r>
        <w:rPr>
          <w:rFonts w:ascii="Times New Roman" w:hAnsi="Times New Roman" w:cs="Times New Roman"/>
          <w:sz w:val="28"/>
          <w:szCs w:val="28"/>
        </w:rPr>
        <w:t xml:space="preserve">реализации мероприятий направленных на улучшение жилищных условий граждан, проживающих в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3"/>
        <w:numPr>
          <w:ilvl w:val="0"/>
          <w:numId w:val="10"/>
        </w:numPr>
        <w:ind w:left="0" w:right="0"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  <w:t xml:space="preserve">дополн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ить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государственной программы Новосибирской области «Комплексное развитие сельских территорий в Новосибирской области»</w:t>
      </w:r>
      <w:r>
        <w:rPr>
          <w:rFonts w:ascii="Times New Roman" w:hAnsi="Times New Roman" w:eastAsia="Calibri" w:cs="Times New Roman"/>
          <w:sz w:val="28"/>
          <w:szCs w:val="28"/>
        </w:rPr>
        <w:t xml:space="preserve"> аналитической информацией о структурных элементах и (или) мероприятиях (ре</w:t>
      </w:r>
      <w:r>
        <w:rPr>
          <w:rFonts w:ascii="Times New Roman" w:hAnsi="Times New Roman" w:eastAsia="Calibri" w:cs="Times New Roman"/>
          <w:sz w:val="28"/>
          <w:szCs w:val="28"/>
        </w:rPr>
        <w:t xml:space="preserve">зультатах) иных областных государственных программ и региональных проектах, соответствующих сфере ее реализации, как это предусмотрено в Федеральной программе, и рекомендовано при разработке государственных комплексных программ развития сельских территорий</w:t>
      </w:r>
      <w:r>
        <w:rPr>
          <w:rFonts w:ascii="Times New Roman" w:hAnsi="Times New Roman" w:eastAsia="Calibri" w:cs="Times New Roman"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изменений в государственную программу Новосибирской области «Комплексное развитие сельских территорий в Новосибирской области».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Шинделов</w:t>
      </w:r>
      <w:r>
        <w:rPr>
          <w:rFonts w:ascii="Times New Roman" w:hAnsi="Times New Roman"/>
          <w:sz w:val="28"/>
          <w:szCs w:val="28"/>
          <w:highlight w:val="white"/>
        </w:rPr>
        <w:t xml:space="preserve"> Андрей Викторович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Диденко И.В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., Шинделов А.В., Франчук Д.В.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7.1. Принять информацию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Шинделова А.В., заместителя Председателя Правительства Новосибирской области – министра сельского хозяйства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к сведению.</w:t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7.2. В связи с исключением из перечня задач государственной программы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Новосибирской области «Комплексное развитие сельских территорий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«Кадровое обеспечение сельских территорий», рекомендовать министерству </w:t>
      </w:r>
      <w:r>
        <w:rPr>
          <w:rFonts w:ascii="Times New Roman" w:hAnsi="Times New Roman"/>
          <w:sz w:val="28"/>
          <w:szCs w:val="28"/>
          <w:highlight w:val="white"/>
        </w:rPr>
        <w:t xml:space="preserve">сельского хозяйства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разработке мероприятий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рамках нового регионального проекта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«Кадры в агропромышленном комплексе»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обратить особое внимание на проблемы с обеспеченностью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квалифицированными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кадрами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сфере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агропромышленного комплекса Новосибирской обла</w:t>
      </w:r>
      <w:r>
        <w:rPr>
          <w:rFonts w:ascii="Times New Roman" w:hAnsi="Times New Roman" w:cs="Times New Roman"/>
          <w:sz w:val="28"/>
          <w:szCs w:val="28"/>
        </w:rPr>
        <w:t xml:space="preserve">сти, а также учесть замечания и предложения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Контрольно-счетной палаты Новосибирской области, сделанные по данному направлению в заключении при проведении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анализа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реализации государственной программы Новосибирской области «Комплексное развитие сельских территорий в Новосибирской области» в 2020-2023 годах и за текущий период 2024 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7.3. Согласовать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проект изменений в государственную программу Новосибирской области «Комплексное развитие сельских территорий в Новосибирской области».</w:t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награждении.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Кальченко</w:t>
      </w:r>
      <w:r>
        <w:rPr>
          <w:rFonts w:ascii="Times New Roman" w:hAnsi="Times New Roman"/>
          <w:sz w:val="28"/>
          <w:szCs w:val="28"/>
          <w:highlight w:val="white"/>
        </w:rPr>
        <w:t xml:space="preserve"> Се</w:t>
      </w:r>
      <w:r>
        <w:rPr>
          <w:rFonts w:ascii="Times New Roman" w:hAnsi="Times New Roman"/>
          <w:sz w:val="28"/>
          <w:szCs w:val="28"/>
        </w:rPr>
        <w:t xml:space="preserve">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93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одатайств</w:t>
      </w:r>
      <w:r>
        <w:rPr>
          <w:rFonts w:ascii="Times New Roman" w:hAnsi="Times New Roman" w:cs="Times New Roman"/>
          <w:sz w:val="28"/>
          <w:szCs w:val="28"/>
        </w:rPr>
        <w:t xml:space="preserve">овать</w:t>
      </w:r>
      <w:r>
        <w:rPr>
          <w:rFonts w:ascii="Times New Roman" w:hAnsi="Times New Roman" w:cs="Times New Roman"/>
          <w:sz w:val="28"/>
          <w:szCs w:val="28"/>
        </w:rPr>
        <w:t xml:space="preserve"> о награждении</w:t>
      </w:r>
      <w:r>
        <w:rPr>
          <w:rFonts w:ascii="Times New Roman" w:hAnsi="Times New Roman" w:cs="Times New Roman"/>
          <w:sz w:val="28"/>
          <w:szCs w:val="28"/>
        </w:rPr>
        <w:t xml:space="preserve"> наградами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30"/>
        <w:numPr>
          <w:ilvl w:val="0"/>
          <w:numId w:val="24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Медалью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«За вклад в развитие законодательства Новосибирской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Шубникова Владимира Николаевича,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главу Купинского района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 вклад в развитие законодательной и общественной деятельности Новосибирской области,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также в связи с 70-летием.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30"/>
        <w:numPr>
          <w:ilvl w:val="0"/>
          <w:numId w:val="24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Хасановой Резеды Ахатовны,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начальника отдела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и учета налогоплательщиков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Федеральной налоговой службы </w:t>
      </w:r>
      <w:r>
        <w:rPr>
          <w:rFonts w:ascii="Times New Roman" w:hAnsi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(федеральное государственное казенное учреждение) </w:t>
      </w:r>
      <w:r>
        <w:rPr>
          <w:rFonts w:ascii="Times New Roman" w:hAnsi="Times New Roman" w:cs="Times New Roman"/>
          <w:sz w:val="28"/>
          <w:szCs w:val="28"/>
        </w:rPr>
        <w:t xml:space="preserve">за большой вклад в </w:t>
      </w:r>
      <w:r>
        <w:rPr>
          <w:rFonts w:ascii="Times New Roman" w:hAnsi="Times New Roman" w:cs="Times New Roman"/>
          <w:sz w:val="28"/>
          <w:szCs w:val="28"/>
        </w:rPr>
        <w:t xml:space="preserve">социальное-экономическое</w:t>
      </w:r>
      <w:r>
        <w:rPr>
          <w:rFonts w:ascii="Times New Roman" w:hAnsi="Times New Roman" w:cs="Times New Roman"/>
          <w:sz w:val="28"/>
          <w:szCs w:val="28"/>
        </w:rPr>
        <w:t xml:space="preserve"> развитие Новосибирской области профессиональное мастерство и многолетний добросовестный труд.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19 февраля 2025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4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6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Бакулина Вера Ивановна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начальник </w:t>
      </w:r>
      <w:r>
        <w:rPr>
          <w:rFonts w:ascii="Times New Roman" w:hAnsi="Times New Roman"/>
          <w:sz w:val="28"/>
          <w:szCs w:val="28"/>
          <w:highlight w:val="white"/>
        </w:rPr>
        <w:t xml:space="preserve">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Буянкина Юлия Алексеевна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</w:t>
      </w:r>
      <w:r>
        <w:rPr>
          <w:rFonts w:ascii="Times New Roman" w:hAnsi="Times New Roman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Гончарова Елена Анатольевна – председатель 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Гришунин Дмитрий Игоревич –</w:t>
      </w:r>
      <w:r>
        <w:rPr>
          <w:rFonts w:ascii="Times New Roman" w:hAnsi="Times New Roman"/>
          <w:sz w:val="28"/>
          <w:szCs w:val="28"/>
          <w:highlight w:val="white"/>
        </w:rPr>
        <w:t xml:space="preserve"> и.о.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Гуменюк Роман Васильевич –</w:t>
      </w:r>
      <w:r>
        <w:rPr>
          <w:rFonts w:ascii="Times New Roman" w:hAnsi="Times New Roman"/>
          <w:sz w:val="28"/>
          <w:szCs w:val="28"/>
          <w:highlight w:val="white"/>
        </w:rPr>
        <w:t xml:space="preserve"> и.о. директора ГКУ «УКС НСО</w:t>
      </w:r>
      <w:r>
        <w:rPr>
          <w:rFonts w:ascii="Times New Roman" w:hAnsi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Ночевкина Наталья Сергеевна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советник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Коньшин Игорь  Викторович – начальник управления международных связей администрации Губернатора Новосибирской области и Правительства Новосибирской о</w:t>
      </w:r>
      <w:r>
        <w:rPr>
          <w:rFonts w:ascii="Times New Roman" w:hAnsi="Times New Roman"/>
          <w:sz w:val="28"/>
          <w:szCs w:val="28"/>
        </w:rPr>
        <w:t xml:space="preserve">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Крутовский</w:t>
      </w:r>
      <w:r>
        <w:rPr>
          <w:rFonts w:ascii="Times New Roman" w:hAnsi="Times New Roman"/>
          <w:sz w:val="28"/>
          <w:szCs w:val="28"/>
        </w:rPr>
        <w:t xml:space="preserve"> Василий Валентинович</w:t>
      </w:r>
      <w:r>
        <w:rPr>
          <w:rFonts w:ascii="Times New Roman" w:hAnsi="Times New Roman"/>
          <w:sz w:val="28"/>
          <w:szCs w:val="28"/>
        </w:rPr>
        <w:t xml:space="preserve"> – аудитор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Мордина Ольга Александровна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 советник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Назаров Евгений Геннадьевич – и.о. м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инистра жилищно-коммунального хозяйс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Саблина Елена Николаевна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аудитор Контрольно-счетной палаты </w:t>
      </w:r>
      <w:r>
        <w:rPr>
          <w:rFonts w:ascii="Times New Roman" w:hAnsi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/>
          <w:sz w:val="28"/>
          <w:szCs w:val="28"/>
          <w:highlight w:val="white"/>
        </w:rPr>
        <w:t xml:space="preserve">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руководителя </w:t>
      </w:r>
      <w:r>
        <w:rPr>
          <w:rFonts w:ascii="Times New Roman" w:hAnsi="Times New Roman"/>
          <w:sz w:val="28"/>
          <w:szCs w:val="28"/>
        </w:rPr>
        <w:t xml:space="preserve"> департамента имущества и земельных отношений Новосибирской облас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ти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Тимонов Дмитрий Сергеевич – первый заместитель министра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Шарпф Светлана Леонидовна </w:t>
      </w:r>
      <w:r>
        <w:rPr>
          <w:rFonts w:ascii="Times New Roman" w:hAnsi="Times New Roman"/>
          <w:sz w:val="28"/>
          <w:szCs w:val="28"/>
          <w:highlight w:val="none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начальник Контрольного управления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3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Шовтак Виталий Борисович –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247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9</w:t>
    </w:r>
    <w:r>
      <w:fldChar w:fldCharType="end"/>
    </w:r>
    <w:r/>
  </w:p>
  <w:p>
    <w:pPr>
      <w:pStyle w:val="7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 w:default="1">
    <w:name w:val="Normal"/>
  </w:style>
  <w:style w:type="paragraph" w:styleId="725">
    <w:name w:val="Heading 1"/>
    <w:basedOn w:val="724"/>
    <w:next w:val="724"/>
    <w:link w:val="754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26">
    <w:name w:val="Heading 2"/>
    <w:basedOn w:val="724"/>
    <w:next w:val="724"/>
    <w:link w:val="755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27">
    <w:name w:val="Heading 3"/>
    <w:basedOn w:val="724"/>
    <w:next w:val="724"/>
    <w:link w:val="756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8">
    <w:name w:val="Heading 4"/>
    <w:basedOn w:val="724"/>
    <w:next w:val="724"/>
    <w:link w:val="757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29">
    <w:name w:val="Heading 5"/>
    <w:basedOn w:val="724"/>
    <w:next w:val="724"/>
    <w:link w:val="758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30">
    <w:name w:val="Heading 6"/>
    <w:basedOn w:val="724"/>
    <w:next w:val="724"/>
    <w:link w:val="759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31">
    <w:name w:val="Heading 7"/>
    <w:basedOn w:val="724"/>
    <w:next w:val="724"/>
    <w:link w:val="76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2">
    <w:name w:val="Heading 8"/>
    <w:basedOn w:val="724"/>
    <w:next w:val="724"/>
    <w:link w:val="76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3">
    <w:name w:val="Heading 9"/>
    <w:basedOn w:val="724"/>
    <w:next w:val="724"/>
    <w:link w:val="76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 w:default="1">
    <w:name w:val="Default Paragraph Font"/>
    <w:uiPriority w:val="1"/>
    <w:semiHidden/>
    <w:unhideWhenUsed/>
  </w:style>
  <w:style w:type="table" w:styleId="7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6" w:default="1">
    <w:name w:val="No List"/>
    <w:uiPriority w:val="99"/>
    <w:semiHidden/>
    <w:unhideWhenUsed/>
  </w:style>
  <w:style w:type="character" w:styleId="737" w:customStyle="1">
    <w:name w:val="Heading 1 Char"/>
    <w:basedOn w:val="734"/>
    <w:uiPriority w:val="9"/>
    <w:rPr>
      <w:rFonts w:ascii="Arial" w:hAnsi="Arial" w:eastAsia="Arial" w:cs="Arial"/>
      <w:sz w:val="40"/>
      <w:szCs w:val="40"/>
    </w:rPr>
  </w:style>
  <w:style w:type="character" w:styleId="738" w:customStyle="1">
    <w:name w:val="Heading 2 Char"/>
    <w:basedOn w:val="734"/>
    <w:uiPriority w:val="9"/>
    <w:rPr>
      <w:rFonts w:ascii="Arial" w:hAnsi="Arial" w:eastAsia="Arial" w:cs="Arial"/>
      <w:sz w:val="34"/>
    </w:rPr>
  </w:style>
  <w:style w:type="character" w:styleId="739" w:customStyle="1">
    <w:name w:val="Heading 3 Char"/>
    <w:basedOn w:val="734"/>
    <w:uiPriority w:val="9"/>
    <w:rPr>
      <w:rFonts w:ascii="Arial" w:hAnsi="Arial" w:eastAsia="Arial" w:cs="Arial"/>
      <w:sz w:val="30"/>
      <w:szCs w:val="30"/>
    </w:rPr>
  </w:style>
  <w:style w:type="character" w:styleId="740" w:customStyle="1">
    <w:name w:val="Heading 4 Char"/>
    <w:basedOn w:val="734"/>
    <w:uiPriority w:val="9"/>
    <w:rPr>
      <w:rFonts w:ascii="Arial" w:hAnsi="Arial" w:eastAsia="Arial" w:cs="Arial"/>
      <w:b/>
      <w:bCs/>
      <w:sz w:val="26"/>
      <w:szCs w:val="26"/>
    </w:rPr>
  </w:style>
  <w:style w:type="character" w:styleId="741" w:customStyle="1">
    <w:name w:val="Heading 5 Char"/>
    <w:basedOn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742" w:customStyle="1">
    <w:name w:val="Heading 6 Char"/>
    <w:basedOn w:val="734"/>
    <w:uiPriority w:val="9"/>
    <w:rPr>
      <w:rFonts w:ascii="Arial" w:hAnsi="Arial" w:eastAsia="Arial" w:cs="Arial"/>
      <w:b/>
      <w:bCs/>
      <w:sz w:val="22"/>
      <w:szCs w:val="22"/>
    </w:rPr>
  </w:style>
  <w:style w:type="character" w:styleId="743" w:customStyle="1">
    <w:name w:val="Heading 7 Char"/>
    <w:basedOn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4" w:customStyle="1">
    <w:name w:val="Heading 8 Char"/>
    <w:basedOn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45" w:customStyle="1">
    <w:name w:val="Heading 9 Char"/>
    <w:basedOn w:val="734"/>
    <w:uiPriority w:val="9"/>
    <w:rPr>
      <w:rFonts w:ascii="Arial" w:hAnsi="Arial" w:eastAsia="Arial" w:cs="Arial"/>
      <w:i/>
      <w:iCs/>
      <w:sz w:val="21"/>
      <w:szCs w:val="21"/>
    </w:rPr>
  </w:style>
  <w:style w:type="character" w:styleId="746" w:customStyle="1">
    <w:name w:val="Title Char"/>
    <w:basedOn w:val="734"/>
    <w:uiPriority w:val="10"/>
    <w:rPr>
      <w:sz w:val="48"/>
      <w:szCs w:val="48"/>
    </w:rPr>
  </w:style>
  <w:style w:type="character" w:styleId="747" w:customStyle="1">
    <w:name w:val="Subtitle Char"/>
    <w:basedOn w:val="734"/>
    <w:uiPriority w:val="11"/>
    <w:rPr>
      <w:sz w:val="24"/>
      <w:szCs w:val="24"/>
    </w:rPr>
  </w:style>
  <w:style w:type="character" w:styleId="748" w:customStyle="1">
    <w:name w:val="Quote Char"/>
    <w:uiPriority w:val="29"/>
    <w:rPr>
      <w:i/>
    </w:rPr>
  </w:style>
  <w:style w:type="character" w:styleId="749" w:customStyle="1">
    <w:name w:val="Intense Quote Char"/>
    <w:uiPriority w:val="30"/>
    <w:rPr>
      <w:i/>
    </w:rPr>
  </w:style>
  <w:style w:type="character" w:styleId="750" w:customStyle="1">
    <w:name w:val="Header Char"/>
    <w:basedOn w:val="734"/>
    <w:uiPriority w:val="99"/>
  </w:style>
  <w:style w:type="character" w:styleId="751" w:customStyle="1">
    <w:name w:val="Caption Char"/>
    <w:uiPriority w:val="99"/>
  </w:style>
  <w:style w:type="character" w:styleId="752" w:customStyle="1">
    <w:name w:val="Footnote Text Char"/>
    <w:uiPriority w:val="99"/>
    <w:rPr>
      <w:sz w:val="18"/>
    </w:rPr>
  </w:style>
  <w:style w:type="character" w:styleId="753" w:customStyle="1">
    <w:name w:val="Endnote Text Char"/>
    <w:uiPriority w:val="99"/>
    <w:rPr>
      <w:sz w:val="20"/>
    </w:rPr>
  </w:style>
  <w:style w:type="character" w:styleId="754" w:customStyle="1">
    <w:name w:val="Заголовок 1 Знак"/>
    <w:link w:val="725"/>
    <w:uiPriority w:val="9"/>
    <w:rPr>
      <w:rFonts w:ascii="Arial" w:hAnsi="Arial" w:eastAsia="Arial" w:cs="Arial"/>
      <w:sz w:val="40"/>
      <w:szCs w:val="40"/>
    </w:rPr>
  </w:style>
  <w:style w:type="character" w:styleId="755" w:customStyle="1">
    <w:name w:val="Заголовок 2 Знак"/>
    <w:link w:val="726"/>
    <w:uiPriority w:val="9"/>
    <w:rPr>
      <w:rFonts w:ascii="Arial" w:hAnsi="Arial" w:eastAsia="Arial" w:cs="Arial"/>
      <w:sz w:val="34"/>
    </w:rPr>
  </w:style>
  <w:style w:type="character" w:styleId="756" w:customStyle="1">
    <w:name w:val="Заголовок 3 Знак"/>
    <w:link w:val="727"/>
    <w:uiPriority w:val="9"/>
    <w:rPr>
      <w:rFonts w:ascii="Arial" w:hAnsi="Arial" w:eastAsia="Arial" w:cs="Arial"/>
      <w:sz w:val="30"/>
      <w:szCs w:val="30"/>
    </w:rPr>
  </w:style>
  <w:style w:type="character" w:styleId="757" w:customStyle="1">
    <w:name w:val="Заголовок 4 Знак"/>
    <w:link w:val="728"/>
    <w:uiPriority w:val="9"/>
    <w:rPr>
      <w:rFonts w:ascii="Arial" w:hAnsi="Arial" w:eastAsia="Arial" w:cs="Arial"/>
      <w:b/>
      <w:bCs/>
      <w:sz w:val="26"/>
      <w:szCs w:val="26"/>
    </w:rPr>
  </w:style>
  <w:style w:type="character" w:styleId="758" w:customStyle="1">
    <w:name w:val="Заголовок 5 Знак"/>
    <w:link w:val="729"/>
    <w:uiPriority w:val="9"/>
    <w:rPr>
      <w:rFonts w:ascii="Arial" w:hAnsi="Arial" w:eastAsia="Arial" w:cs="Arial"/>
      <w:b/>
      <w:bCs/>
      <w:sz w:val="24"/>
      <w:szCs w:val="24"/>
    </w:rPr>
  </w:style>
  <w:style w:type="character" w:styleId="759" w:customStyle="1">
    <w:name w:val="Заголовок 6 Знак"/>
    <w:link w:val="730"/>
    <w:uiPriority w:val="9"/>
    <w:rPr>
      <w:rFonts w:ascii="Arial" w:hAnsi="Arial" w:eastAsia="Arial" w:cs="Arial"/>
      <w:b/>
      <w:bCs/>
      <w:sz w:val="22"/>
      <w:szCs w:val="22"/>
    </w:rPr>
  </w:style>
  <w:style w:type="character" w:styleId="760" w:customStyle="1">
    <w:name w:val="Заголовок 7 Знак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1" w:customStyle="1">
    <w:name w:val="Заголовок 8 Знак"/>
    <w:link w:val="732"/>
    <w:uiPriority w:val="9"/>
    <w:rPr>
      <w:rFonts w:ascii="Arial" w:hAnsi="Arial" w:eastAsia="Arial" w:cs="Arial"/>
      <w:i/>
      <w:iCs/>
      <w:sz w:val="22"/>
      <w:szCs w:val="22"/>
    </w:rPr>
  </w:style>
  <w:style w:type="character" w:styleId="762" w:customStyle="1">
    <w:name w:val="Заголовок 9 Знак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63">
    <w:name w:val="List Paragraph"/>
    <w:basedOn w:val="724"/>
    <w:uiPriority w:val="34"/>
    <w:qFormat/>
    <w:pPr>
      <w:contextualSpacing/>
      <w:ind w:left="720"/>
    </w:pPr>
  </w:style>
  <w:style w:type="paragraph" w:styleId="764">
    <w:name w:val="No Spacing"/>
    <w:uiPriority w:val="1"/>
    <w:qFormat/>
    <w:pPr>
      <w:spacing w:after="0" w:line="240" w:lineRule="auto"/>
    </w:pPr>
  </w:style>
  <w:style w:type="character" w:styleId="765" w:customStyle="1">
    <w:name w:val="Заголовок Знак"/>
    <w:link w:val="922"/>
    <w:uiPriority w:val="10"/>
    <w:rPr>
      <w:sz w:val="48"/>
      <w:szCs w:val="48"/>
    </w:rPr>
  </w:style>
  <w:style w:type="character" w:styleId="766" w:customStyle="1">
    <w:name w:val="Подзаголовок Знак"/>
    <w:link w:val="923"/>
    <w:uiPriority w:val="11"/>
    <w:rPr>
      <w:sz w:val="24"/>
      <w:szCs w:val="24"/>
    </w:rPr>
  </w:style>
  <w:style w:type="paragraph" w:styleId="767">
    <w:name w:val="Quote"/>
    <w:basedOn w:val="724"/>
    <w:next w:val="724"/>
    <w:link w:val="768"/>
    <w:uiPriority w:val="29"/>
    <w:qFormat/>
    <w:pPr>
      <w:ind w:left="720" w:right="720"/>
    </w:pPr>
    <w:rPr>
      <w:i/>
    </w:rPr>
  </w:style>
  <w:style w:type="character" w:styleId="768" w:customStyle="1">
    <w:name w:val="Цитата 2 Знак"/>
    <w:link w:val="767"/>
    <w:uiPriority w:val="29"/>
    <w:rPr>
      <w:i/>
    </w:rPr>
  </w:style>
  <w:style w:type="paragraph" w:styleId="769">
    <w:name w:val="Intense Quote"/>
    <w:basedOn w:val="724"/>
    <w:next w:val="724"/>
    <w:link w:val="77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0" w:customStyle="1">
    <w:name w:val="Выделенная цитата Знак"/>
    <w:link w:val="769"/>
    <w:uiPriority w:val="30"/>
    <w:rPr>
      <w:i/>
    </w:rPr>
  </w:style>
  <w:style w:type="paragraph" w:styleId="771">
    <w:name w:val="Header"/>
    <w:basedOn w:val="724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2" w:customStyle="1">
    <w:name w:val="Верхний колонтитул Знак"/>
    <w:link w:val="771"/>
    <w:uiPriority w:val="99"/>
  </w:style>
  <w:style w:type="paragraph" w:styleId="773">
    <w:name w:val="Footer"/>
    <w:basedOn w:val="724"/>
    <w:link w:val="7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4" w:customStyle="1">
    <w:name w:val="Footer Char"/>
    <w:uiPriority w:val="99"/>
  </w:style>
  <w:style w:type="paragraph" w:styleId="775">
    <w:name w:val="Caption"/>
    <w:basedOn w:val="724"/>
    <w:next w:val="72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76" w:customStyle="1">
    <w:name w:val="Нижний колонтитул Знак"/>
    <w:link w:val="773"/>
    <w:uiPriority w:val="99"/>
  </w:style>
  <w:style w:type="table" w:styleId="777">
    <w:name w:val="Table Grid"/>
    <w:basedOn w:val="73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Table Grid Light"/>
    <w:basedOn w:val="73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3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3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7" w:customStyle="1">
    <w:name w:val="Grid Table 4 - Accent 2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8" w:customStyle="1">
    <w:name w:val="Grid Table 4 - Accent 3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9" w:customStyle="1">
    <w:name w:val="Grid Table 4 - Accent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0" w:customStyle="1">
    <w:name w:val="Grid Table 4 - Accent 5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1" w:customStyle="1">
    <w:name w:val="Grid Table 4 - Accent 6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2">
    <w:name w:val="Grid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1" w:customStyle="1">
    <w:name w:val="Grid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2" w:customStyle="1">
    <w:name w:val="Grid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3" w:customStyle="1">
    <w:name w:val="Grid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4" w:customStyle="1">
    <w:name w:val="Grid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5" w:customStyle="1">
    <w:name w:val="Grid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6">
    <w:name w:val="Grid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3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0" w:customStyle="1">
    <w:name w:val="List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1" w:customStyle="1">
    <w:name w:val="List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2" w:customStyle="1">
    <w:name w:val="List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3" w:customStyle="1">
    <w:name w:val="List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4" w:customStyle="1">
    <w:name w:val="List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5">
    <w:name w:val="List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4" w:customStyle="1">
    <w:name w:val="Lined - Accent 2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5" w:customStyle="1">
    <w:name w:val="Lined - Accent 3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6" w:customStyle="1">
    <w:name w:val="Lined - Accent 4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7" w:customStyle="1">
    <w:name w:val="Lined - Accent 5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8" w:customStyle="1">
    <w:name w:val="Lined - Accent 6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9" w:customStyle="1">
    <w:name w:val="Bordered &amp; Lined - Accent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1" w:customStyle="1">
    <w:name w:val="Bordered &amp; Lined - Accent 2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2" w:customStyle="1">
    <w:name w:val="Bordered &amp; Lined - Accent 3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3" w:customStyle="1">
    <w:name w:val="Bordered &amp; Lined - Accent 4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4" w:customStyle="1">
    <w:name w:val="Bordered &amp; Lined - Accent 5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5" w:customStyle="1">
    <w:name w:val="Bordered &amp; Lined - Accent 6"/>
    <w:basedOn w:val="7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6" w:customStyle="1">
    <w:name w:val="Bordered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8" w:customStyle="1">
    <w:name w:val="Bordered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9" w:customStyle="1">
    <w:name w:val="Bordered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0" w:customStyle="1">
    <w:name w:val="Bordered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1" w:customStyle="1">
    <w:name w:val="Bordered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2" w:customStyle="1">
    <w:name w:val="Bordered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3">
    <w:name w:val="Hyperlink"/>
    <w:uiPriority w:val="99"/>
    <w:unhideWhenUsed/>
    <w:rPr>
      <w:color w:val="0000ff" w:themeColor="hyperlink"/>
      <w:u w:val="single"/>
    </w:rPr>
  </w:style>
  <w:style w:type="paragraph" w:styleId="904">
    <w:name w:val="footnote text"/>
    <w:basedOn w:val="724"/>
    <w:link w:val="905"/>
    <w:uiPriority w:val="99"/>
    <w:semiHidden/>
    <w:unhideWhenUsed/>
    <w:pPr>
      <w:spacing w:after="40" w:line="240" w:lineRule="auto"/>
    </w:pPr>
    <w:rPr>
      <w:sz w:val="18"/>
    </w:rPr>
  </w:style>
  <w:style w:type="character" w:styleId="905" w:customStyle="1">
    <w:name w:val="Текст сноски Знак"/>
    <w:link w:val="904"/>
    <w:uiPriority w:val="99"/>
    <w:rPr>
      <w:sz w:val="18"/>
    </w:rPr>
  </w:style>
  <w:style w:type="character" w:styleId="906">
    <w:name w:val="footnote reference"/>
    <w:uiPriority w:val="99"/>
    <w:unhideWhenUsed/>
    <w:rPr>
      <w:vertAlign w:val="superscript"/>
    </w:rPr>
  </w:style>
  <w:style w:type="paragraph" w:styleId="907">
    <w:name w:val="endnote text"/>
    <w:basedOn w:val="724"/>
    <w:link w:val="908"/>
    <w:uiPriority w:val="99"/>
    <w:semiHidden/>
    <w:unhideWhenUsed/>
    <w:pPr>
      <w:spacing w:after="0" w:line="240" w:lineRule="auto"/>
    </w:pPr>
    <w:rPr>
      <w:sz w:val="20"/>
    </w:rPr>
  </w:style>
  <w:style w:type="character" w:styleId="908" w:customStyle="1">
    <w:name w:val="Текст концевой сноски Знак"/>
    <w:link w:val="907"/>
    <w:uiPriority w:val="99"/>
    <w:rPr>
      <w:sz w:val="20"/>
    </w:rPr>
  </w:style>
  <w:style w:type="character" w:styleId="909">
    <w:name w:val="endnote reference"/>
    <w:uiPriority w:val="99"/>
    <w:semiHidden/>
    <w:unhideWhenUsed/>
    <w:rPr>
      <w:vertAlign w:val="superscript"/>
    </w:rPr>
  </w:style>
  <w:style w:type="paragraph" w:styleId="910">
    <w:name w:val="toc 1"/>
    <w:basedOn w:val="724"/>
    <w:next w:val="724"/>
    <w:uiPriority w:val="39"/>
    <w:unhideWhenUsed/>
    <w:pPr>
      <w:spacing w:after="57"/>
    </w:pPr>
  </w:style>
  <w:style w:type="paragraph" w:styleId="911">
    <w:name w:val="toc 2"/>
    <w:basedOn w:val="724"/>
    <w:next w:val="724"/>
    <w:uiPriority w:val="39"/>
    <w:unhideWhenUsed/>
    <w:pPr>
      <w:ind w:left="283"/>
      <w:spacing w:after="57"/>
    </w:pPr>
  </w:style>
  <w:style w:type="paragraph" w:styleId="912">
    <w:name w:val="toc 3"/>
    <w:basedOn w:val="724"/>
    <w:next w:val="724"/>
    <w:uiPriority w:val="39"/>
    <w:unhideWhenUsed/>
    <w:pPr>
      <w:ind w:left="567"/>
      <w:spacing w:after="57"/>
    </w:pPr>
  </w:style>
  <w:style w:type="paragraph" w:styleId="913">
    <w:name w:val="toc 4"/>
    <w:basedOn w:val="724"/>
    <w:next w:val="724"/>
    <w:uiPriority w:val="39"/>
    <w:unhideWhenUsed/>
    <w:pPr>
      <w:ind w:left="850"/>
      <w:spacing w:after="57"/>
    </w:pPr>
  </w:style>
  <w:style w:type="paragraph" w:styleId="914">
    <w:name w:val="toc 5"/>
    <w:basedOn w:val="724"/>
    <w:next w:val="724"/>
    <w:uiPriority w:val="39"/>
    <w:unhideWhenUsed/>
    <w:pPr>
      <w:ind w:left="1134"/>
      <w:spacing w:after="57"/>
    </w:pPr>
  </w:style>
  <w:style w:type="paragraph" w:styleId="915">
    <w:name w:val="toc 6"/>
    <w:basedOn w:val="724"/>
    <w:next w:val="724"/>
    <w:uiPriority w:val="39"/>
    <w:unhideWhenUsed/>
    <w:pPr>
      <w:ind w:left="1417"/>
      <w:spacing w:after="57"/>
    </w:pPr>
  </w:style>
  <w:style w:type="paragraph" w:styleId="916">
    <w:name w:val="toc 7"/>
    <w:basedOn w:val="724"/>
    <w:next w:val="724"/>
    <w:uiPriority w:val="39"/>
    <w:unhideWhenUsed/>
    <w:pPr>
      <w:ind w:left="1701"/>
      <w:spacing w:after="57"/>
    </w:pPr>
  </w:style>
  <w:style w:type="paragraph" w:styleId="917">
    <w:name w:val="toc 8"/>
    <w:basedOn w:val="724"/>
    <w:next w:val="724"/>
    <w:uiPriority w:val="39"/>
    <w:unhideWhenUsed/>
    <w:pPr>
      <w:ind w:left="1984"/>
      <w:spacing w:after="57"/>
    </w:pPr>
  </w:style>
  <w:style w:type="paragraph" w:styleId="918">
    <w:name w:val="toc 9"/>
    <w:basedOn w:val="724"/>
    <w:next w:val="724"/>
    <w:uiPriority w:val="39"/>
    <w:unhideWhenUsed/>
    <w:pPr>
      <w:ind w:left="2268"/>
      <w:spacing w:after="57"/>
    </w:pPr>
  </w:style>
  <w:style w:type="paragraph" w:styleId="919">
    <w:name w:val="TOC Heading"/>
    <w:uiPriority w:val="39"/>
    <w:unhideWhenUsed/>
  </w:style>
  <w:style w:type="paragraph" w:styleId="920">
    <w:name w:val="table of figures"/>
    <w:basedOn w:val="724"/>
    <w:next w:val="724"/>
    <w:uiPriority w:val="99"/>
    <w:unhideWhenUsed/>
    <w:pPr>
      <w:spacing w:after="0"/>
    </w:pPr>
  </w:style>
  <w:style w:type="table" w:styleId="92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22">
    <w:name w:val="Title"/>
    <w:basedOn w:val="724"/>
    <w:next w:val="724"/>
    <w:link w:val="765"/>
    <w:pPr>
      <w:spacing w:before="300"/>
    </w:pPr>
    <w:rPr>
      <w:sz w:val="48"/>
      <w:szCs w:val="48"/>
    </w:rPr>
  </w:style>
  <w:style w:type="paragraph" w:styleId="923">
    <w:name w:val="Subtitle"/>
    <w:basedOn w:val="724"/>
    <w:next w:val="724"/>
    <w:link w:val="766"/>
    <w:pPr>
      <w:spacing w:before="200"/>
    </w:pPr>
    <w:rPr>
      <w:sz w:val="24"/>
      <w:szCs w:val="24"/>
    </w:rPr>
  </w:style>
  <w:style w:type="table" w:styleId="924" w:customStyle="1">
    <w:name w:val="StGen0"/>
    <w:basedOn w:val="92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5" w:customStyle="1">
    <w:name w:val="StGen1"/>
    <w:basedOn w:val="92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6" w:customStyle="1">
    <w:name w:val="StGen2"/>
    <w:basedOn w:val="92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27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28" w:customStyle="1">
    <w:name w:val="Основной текст (15)_"/>
    <w:rPr>
      <w:spacing w:val="3"/>
      <w:shd w:val="clear" w:color="auto" w:fill="ffffff"/>
    </w:rPr>
  </w:style>
  <w:style w:type="character" w:styleId="929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30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32</cp:revision>
  <dcterms:created xsi:type="dcterms:W3CDTF">2024-12-18T05:15:00Z</dcterms:created>
  <dcterms:modified xsi:type="dcterms:W3CDTF">2025-02-20T02:41:35Z</dcterms:modified>
</cp:coreProperties>
</file>