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2783840</wp:posOffset>
                </wp:positionH>
                <wp:positionV relativeFrom="paragraph">
                  <wp:posOffset>-345457</wp:posOffset>
                </wp:positionV>
                <wp:extent cx="552450" cy="657225"/>
                <wp:effectExtent l="0" t="0" r="0" b="0"/>
                <wp:wrapSquare wrapText="bothSides"/>
                <wp:docPr id="1" name="image1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17133777" name="image1.png"/>
                        <pic:cNvPicPr/>
                        <pic:nvPr/>
                      </pic:nvPicPr>
                      <pic:blipFill>
                        <a:blip r:embed="rId10"/>
                        <a:stretch/>
                      </pic:blipFill>
                      <pic:spPr bwMode="auto">
                        <a:xfrm>
                          <a:off x="0" y="0"/>
                          <a:ext cx="552449" cy="65722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251656704;o:allowoverlap:true;o:allowincell:true;mso-position-horizontal-relative:text;margin-left:219.20pt;mso-position-horizontal:absolute;mso-position-vertical-relative:text;margin-top:-27.20pt;mso-position-vertical:absolute;width:43.50pt;height:51.75pt;mso-wrap-distance-left:9.00pt;mso-wrap-distance-top:0.00pt;mso-wrap-distance-right:9.00pt;mso-wrap-distance-bottom:0.00pt;">
                <v:path textboxrect="0,0,0,0"/>
                <w10:wrap type="square"/>
                <v:imagedata r:id="rId10" o:title=""/>
              </v:shape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ЗАКОНОДАТЕЛЬНОЕ СОБРАНИЕ НОВОСИБИРСКОЙ ОБЛАСТИ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jc w:val="center"/>
        <w:keepNext/>
        <w:spacing w:after="12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4"/>
          <w:szCs w:val="24"/>
        </w:rPr>
        <w:t xml:space="preserve">К О М И Т Е Т</w:t>
      </w:r>
      <w:r>
        <w:rPr>
          <w:rFonts w:ascii="Times New Roman" w:hAnsi="Times New Roman" w:eastAsia="Times New Roman" w:cs="Times New Roman"/>
          <w:b/>
          <w:sz w:val="24"/>
          <w:szCs w:val="24"/>
        </w:rPr>
        <w:br/>
        <w:t xml:space="preserve">ПО БЮДЖЕТНОЙ, ФИНАНСОВО-ЭКОНОМИЧЕСКОЙ  ПОЛИТИКЕ И СОБСТВЕННОСТИ</w:t>
      </w: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tbl>
      <w:tblPr>
        <w:tblStyle w:val="922"/>
        <w:tblW w:w="10456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0456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1045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ул. Кирова, д. 3, г. Новосибирск, 630007,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</w:rPr>
              <w:t xml:space="preserve">тел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.: 8 (383) 296-53-46, 8 (383) 296-53-48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r>
          </w:p>
          <w:p>
            <w:pPr>
              <w:jc w:val="center"/>
              <w:spacing w:after="0" w:line="240" w:lineRule="auto"/>
              <w:tabs>
                <w:tab w:val="center" w:pos="4536" w:leader="none"/>
                <w:tab w:val="right" w:pos="9072" w:leader="none"/>
              </w:tabs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E-mail: </w:t>
            </w:r>
            <w:hyperlink r:id="rId11" w:tooltip="mailto:k_budg@zsnso.ru" w:history="1">
              <w:r>
                <w:rPr>
                  <w:rFonts w:ascii="Times New Roman" w:hAnsi="Times New Roman" w:eastAsia="Times New Roman" w:cs="Times New Roman"/>
                  <w:color w:val="0000ff"/>
                  <w:sz w:val="24"/>
                  <w:szCs w:val="24"/>
                  <w:u w:val="single"/>
                  <w:lang w:val="en-US"/>
                </w:rPr>
                <w:t xml:space="preserve">k_budg@zsnso.ru</w:t>
              </w:r>
            </w:hyperlink>
            <w:r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  <w:t xml:space="preserve">, http://www.zsnso.ru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  <w:lang w:val="en-US"/>
              </w:rPr>
            </w:r>
          </w:p>
        </w:tc>
      </w:tr>
    </w:tbl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25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lang w:val="en-US"/>
        </w:rPr>
      </w:pPr>
      <w:r>
        <w:rPr>
          <w:sz w:val="28"/>
          <w:szCs w:val="28"/>
          <w:lang w:eastAsia="ru-RU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17146</wp:posOffset>
                </wp:positionH>
                <wp:positionV relativeFrom="paragraph">
                  <wp:posOffset>16510</wp:posOffset>
                </wp:positionV>
                <wp:extent cx="6515100" cy="127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id="shape 1" o:spid="_x0000_s1" style="position:absolute;left:0;text-align:left;z-index:251657728;mso-wrap-distance-left:9.00pt;mso-wrap-distance-top:0.00pt;mso-wrap-distance-right:9.00pt;mso-wrap-distance-bottom:0.00pt;flip:y;visibility:visible;" from="1.4pt,1.3pt" to="514.4pt,1.4pt" filled="f" strokecolor="#000000" strokeweight="1.50pt"/>
            </w:pict>
          </mc:Fallback>
        </mc:AlternateContent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  <w:r>
        <w:rPr>
          <w:rFonts w:ascii="Times New Roman" w:hAnsi="Times New Roman" w:eastAsia="Times New Roman" w:cs="Times New Roman"/>
          <w:sz w:val="28"/>
          <w:szCs w:val="28"/>
          <w:lang w:val="en-US"/>
        </w:rPr>
      </w:r>
    </w:p>
    <w:p>
      <w:pPr>
        <w:ind w:right="2"/>
        <w:spacing w:after="0" w:line="240" w:lineRule="auto"/>
        <w:rPr>
          <w:rFonts w:ascii="Times New Roman" w:hAnsi="Times New Roman" w:eastAsia="Times New Roman" w:cs="Times New Roman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17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 декабря 2025 года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ab/>
        <w:t xml:space="preserve">            ул.Кирова,3 малый зал</w:t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sz w:val="28"/>
          <w:szCs w:val="28"/>
          <w:highlight w:val="white"/>
        </w:rPr>
      </w:r>
    </w:p>
    <w:p>
      <w:pPr>
        <w:pStyle w:val="724"/>
        <w:shd w:val="clear" w:color="auto" w:fill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pStyle w:val="724"/>
        <w:shd w:val="clear" w:color="auto" w:fill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white"/>
        </w:rPr>
        <w:t xml:space="preserve">ПРОТОКОЛ №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7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заседания комитета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tbl>
      <w:tblPr>
        <w:tblStyle w:val="923"/>
        <w:tblW w:w="10065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283"/>
        <w:gridCol w:w="962"/>
        <w:gridCol w:w="482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Присутствовали: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Председатель комитета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Диденко Ирина Валериевна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Заместители председателя комитета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Кальченко Сергей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Любавский Андрей Валерьевич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Плотников Владислав Львович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Юминов Денис Юрьевич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Члены комитета: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Гайдук Сергей Александрович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Машкарин Николай Владимирович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Мороз Иван Григорьевич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Отсутствовали:                           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Карасева Дарья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Конько Сер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гей Григорьевич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Кулинич Александр Андреевич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Референты, советник комитета: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Ионова Екатерина Васильевна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Притуленко Ольга Сергеевна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Орленко Наталья Николаевна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28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  <w:u w:val="single"/>
              </w:rPr>
              <w:t xml:space="preserve">Приглашенные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: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6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482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17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участников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  <w:t xml:space="preserve">(список прилагается)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  <w:highlight w:val="white"/>
              </w:rPr>
            </w:r>
          </w:p>
        </w:tc>
      </w:tr>
    </w:tbl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  <w:t xml:space="preserve">__________________________________________________________________</w:t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i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non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1. О повестке дня и порядке работы заседания комитета.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highlight w:val="none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9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РЕШИЛИ: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left="709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1.1. Принять за основу предложенную повестку заседания комитета.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1.2.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Утвердить повестку и порядок работы заседания комитета в целом.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ГОЛОСОВАНИЕ: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-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  <w:r>
        <w:rPr>
          <w:rFonts w:ascii="Times New Roman" w:hAnsi="Times New Roman" w:eastAsia="Times New Roman" w:cs="Times New Roman"/>
          <w:b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</w:rPr>
        <w:t xml:space="preserve">2. 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«Об областном бюджете Новосибирской области на 2026 год и плановый период 2027 и 2028 годов», третье чтение. </w:t>
      </w:r>
      <w:r/>
      <w:r>
        <w:rPr>
          <w:rFonts w:ascii="Times New Roman" w:hAnsi="Times New Roman"/>
          <w:b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</w:t>
      </w:r>
      <w:r>
        <w:rPr>
          <w:rFonts w:ascii="Times New Roman" w:hAnsi="Times New Roman" w:cs="Times New Roman"/>
          <w:sz w:val="28"/>
          <w:szCs w:val="28"/>
        </w:rPr>
        <w:t xml:space="preserve">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 w:cs="Times New Roman"/>
          <w:sz w:val="28"/>
          <w:szCs w:val="28"/>
        </w:rPr>
        <w:t xml:space="preserve">«Об областном бюджете Новосибирской области на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>
        <w:rPr>
          <w:rFonts w:ascii="Times New Roman" w:hAnsi="Times New Roman" w:cs="Times New Roman"/>
          <w:sz w:val="28"/>
          <w:szCs w:val="28"/>
        </w:rPr>
        <w:t xml:space="preserve">7</w:t>
      </w:r>
      <w:r>
        <w:rPr>
          <w:rFonts w:ascii="Times New Roman" w:hAnsi="Times New Roman" w:cs="Times New Roman"/>
          <w:sz w:val="28"/>
          <w:szCs w:val="28"/>
        </w:rPr>
        <w:t xml:space="preserve"> и 202</w:t>
      </w:r>
      <w:r>
        <w:rPr>
          <w:rFonts w:ascii="Times New Roman" w:hAnsi="Times New Roman" w:cs="Times New Roman"/>
          <w:sz w:val="28"/>
          <w:szCs w:val="28"/>
        </w:rPr>
        <w:t xml:space="preserve">8</w:t>
      </w:r>
      <w:r>
        <w:rPr>
          <w:rFonts w:ascii="Times New Roman" w:hAnsi="Times New Roman" w:cs="Times New Roman"/>
          <w:sz w:val="28"/>
          <w:szCs w:val="28"/>
        </w:rPr>
        <w:t xml:space="preserve"> годов» и ре</w:t>
      </w:r>
      <w:r>
        <w:rPr>
          <w:rFonts w:ascii="Times New Roman" w:hAnsi="Times New Roman" w:cs="Times New Roman"/>
          <w:sz w:val="28"/>
          <w:szCs w:val="28"/>
        </w:rPr>
        <w:t xml:space="preserve">комендовать его к принятию в </w:t>
      </w:r>
      <w:r>
        <w:rPr>
          <w:rFonts w:ascii="Times New Roman" w:hAnsi="Times New Roman" w:cs="Times New Roman"/>
          <w:sz w:val="28"/>
          <w:szCs w:val="28"/>
        </w:rPr>
        <w:t xml:space="preserve">третье</w:t>
      </w:r>
      <w:r>
        <w:rPr>
          <w:rFonts w:ascii="Times New Roman" w:hAnsi="Times New Roman" w:cs="Times New Roman"/>
          <w:sz w:val="28"/>
          <w:szCs w:val="28"/>
        </w:rPr>
        <w:t xml:space="preserve">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0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Calibri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3. 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 w:cs="Calibri"/>
          <w:b/>
          <w:sz w:val="28"/>
          <w:szCs w:val="28"/>
        </w:rPr>
        <w:t xml:space="preserve">О проекте закона Новосибирской области</w:t>
      </w:r>
      <w:r>
        <w:rPr>
          <w:rFonts w:ascii="Times New Roman" w:hAnsi="Times New Roman" w:cs="Calibri"/>
          <w:b/>
          <w:sz w:val="28"/>
          <w:szCs w:val="28"/>
        </w:rPr>
        <w:t xml:space="preserve"> </w:t>
      </w:r>
      <w:r>
        <w:rPr>
          <w:rFonts w:ascii="Times New Roman" w:hAnsi="Times New Roman" w:cs="Calibri"/>
          <w:b/>
          <w:sz w:val="28"/>
          <w:szCs w:val="28"/>
        </w:rPr>
        <w:t xml:space="preserve">«О внесении изменений в статью 1 и приложение 2 к Закону Новосибирской области «О единых нормативах отчислений в бюджеты муниципальных образований Новосибирской области от отдельных налогов и неналоговых доходов, п</w:t>
      </w:r>
      <w:r>
        <w:rPr>
          <w:rFonts w:ascii="Times New Roman" w:hAnsi="Times New Roman" w:cs="Calibri"/>
          <w:b/>
          <w:sz w:val="28"/>
          <w:szCs w:val="28"/>
        </w:rPr>
        <w:t xml:space="preserve">ередаче в бюджеты сельских поселений Новосибирской области налоговых доходов от отдельных налогов, подлежащих зачислению в бюджет муниципального района, и межбюджетных трансфертах между областным бюджетом Новосибирской области и бюджетами муниципальных обр</w:t>
      </w:r>
      <w:r>
        <w:rPr>
          <w:rFonts w:ascii="Times New Roman" w:hAnsi="Times New Roman" w:cs="Calibri"/>
          <w:b/>
          <w:sz w:val="28"/>
          <w:szCs w:val="28"/>
        </w:rPr>
        <w:t xml:space="preserve">азований Новосибирской области</w:t>
      </w:r>
      <w:r>
        <w:rPr>
          <w:rFonts w:ascii="Times New Roman" w:hAnsi="Times New Roman" w:cs="Calibri"/>
          <w:b/>
          <w:sz w:val="28"/>
          <w:szCs w:val="28"/>
        </w:rPr>
        <w:t xml:space="preserve">», второе чтение.</w:t>
      </w:r>
      <w:r>
        <w:rPr>
          <w:rFonts w:ascii="Times New Roman" w:hAnsi="Times New Roman" w:cs="Calibri"/>
          <w:b/>
          <w:sz w:val="28"/>
          <w:szCs w:val="28"/>
        </w:rPr>
        <w:t xml:space="preserve"> Рассмотрение поправок субъектов права законодательной инициативы.</w:t>
      </w:r>
      <w:r/>
      <w:r>
        <w:rPr>
          <w:rFonts w:ascii="Times New Roman" w:hAnsi="Times New Roman" w:cs="Calibri"/>
          <w:b/>
          <w:sz w:val="28"/>
          <w:szCs w:val="28"/>
        </w:rPr>
      </w:r>
    </w:p>
    <w:p>
      <w:pPr>
        <w:ind w:right="142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Диденко Ирина Валериевна – заместитель Председателя Законодательного Собрания Новосибирской области – председатель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color w:val="000000"/>
          <w:sz w:val="28"/>
          <w:szCs w:val="28"/>
        </w:rPr>
        <w:tab/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РЕШИЛИ: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изменений в статью 1 и приложение 2 к Закону Новосибирской области «О единых нормативах отчислений в бюджеты муниципальных образований Новосибирской области от отдельных налогов и неналоговых доходов, передаче в бюджеты сельских посе</w:t>
      </w:r>
      <w:r>
        <w:rPr>
          <w:rFonts w:ascii="Times New Roman" w:hAnsi="Times New Roman"/>
          <w:sz w:val="28"/>
          <w:szCs w:val="28"/>
        </w:rPr>
        <w:t xml:space="preserve">лений Новосибирской области налоговых доходов от отдельных налогов, подлежащих зачислению в бюджет муниципального района, и межбюджетных трансфертах между областным бюджетом Новосибирской области и бюджетами муниципальных образований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во втором чтении с учетом поправок, сформированных в таблицу поправок №1 - поправки, рекомендуемые комитетом к принятию.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  <w:t xml:space="preserve">«За» –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white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4.  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</w:t>
      </w:r>
      <w:r>
        <w:rPr>
          <w:rFonts w:ascii="Times New Roman" w:hAnsi="Times New Roman"/>
          <w:b/>
          <w:bCs/>
          <w:sz w:val="28"/>
          <w:szCs w:val="28"/>
        </w:rPr>
        <w:t xml:space="preserve">О внесении изменений в главу 6 Закона Новосибирской области «О налогах и особенностях налогообложения отдельных категорий налогоплательщиков в Новосибирской области», второе чтение. </w:t>
      </w:r>
      <w:r>
        <w:rPr>
          <w:rFonts w:ascii="Times New Roman" w:hAnsi="Times New Roman"/>
          <w:b/>
          <w:sz w:val="28"/>
          <w:szCs w:val="28"/>
        </w:rPr>
        <w:t xml:space="preserve">Рассмотрение поправок субъектов права законодательной инициативы.</w:t>
      </w:r>
      <w:r/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  <w:highlight w:val="white"/>
        </w:rPr>
        <w:t xml:space="preserve">ВОПРОСЫ, ВЫСТУПЛЕНИЯ: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Диденко И.В.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4.1. Внести на рассмотрение сессии Законодательного Собрания Новосибирской области проект закона Новосибирской области «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О проекте закона Новосибирской области «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О внесении изменений в главу 6 Закона Новосибирской области «О налогах и особенностях налогообложения отдельных категорий налогоплательщиков в Новосибирской области»,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и рекомендовать его к принятию во втором чтении с учетом поправок, сформированных в таблицу поправок №1 - поправки, рекомендуемые комитетом к принятию.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  <w:highlight w:val="non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</w:pP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4.2. Рекомендовать министерству экономического развития Новосибирской области в разрабатываемом Порядке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определения и подтверждения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предельного размера расходов на создание объектов, указанных в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статье 6.2.6. «Инвестиционный налогов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ый вычет по налогу на прибыль организаций в отношении расходов на создание объектов транспортной, коммунальной и социальной инфраструктур, в том числе расходов на их приобретение, сооружение, доведение до состояния, в котором они пригодны для использования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» Закона Новосибирской области от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19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16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октября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22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2003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2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года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3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№ 142-OЗ «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 налогах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особенностях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налогообложения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отдельных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категорий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налогоплательщиков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Новосибирской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z w:val="28"/>
          <w:szCs w:val="28"/>
        </w:rPr>
        <w:t xml:space="preserve">области»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color w:val="000000" w:themeColor="text1"/>
          <w:spacing w:val="1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предусмотреть направление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в Управление Федеральной налоговой службы по Новосибирской области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 документа, подтверждающего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предельный размер расходов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на создание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таких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объе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</w:rPr>
        <w:t xml:space="preserve">ктов 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в случае подготовки такой информации по заявлению инвест</w:t>
      </w:r>
      <w:r>
        <w:rPr>
          <w:rFonts w:ascii="Times New Roman" w:hAnsi="Times New Roman" w:eastAsia="Times New Roman" w:cs="Times New Roman"/>
          <w:b w:val="0"/>
          <w:bCs w:val="0"/>
          <w:i w:val="0"/>
          <w:iCs w:val="0"/>
          <w:sz w:val="28"/>
          <w:szCs w:val="28"/>
          <w:highlight w:val="none"/>
        </w:rPr>
        <w:t xml:space="preserve">ора.</w:t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b w:val="0"/>
          <w:bCs w:val="0"/>
          <w:i w:val="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Cs/>
          <w:i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  <w:r>
        <w:rPr>
          <w:rFonts w:ascii="Times New Roman" w:hAnsi="Times New Roman" w:eastAsia="Times New Roman" w:cs="Times New Roman"/>
          <w:bCs/>
          <w:i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</w:rPr>
      </w:pP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  <w:r>
        <w:rPr>
          <w:rFonts w:ascii="Times New Roman" w:hAnsi="Times New Roman" w:eastAsia="Times New Roman" w:cs="Times New Roman"/>
          <w:i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5. </w:t>
      </w:r>
      <w:r>
        <w:rPr>
          <w:rFonts w:ascii="Times New Roman" w:hAnsi="Times New Roman"/>
          <w:b/>
          <w:sz w:val="28"/>
          <w:szCs w:val="28"/>
          <w:highlight w:val="white"/>
        </w:rPr>
      </w:r>
      <w:r>
        <w:rPr>
          <w:rFonts w:ascii="Times New Roman" w:hAnsi="Times New Roman"/>
          <w:b/>
          <w:sz w:val="28"/>
          <w:szCs w:val="28"/>
        </w:rPr>
        <w:t xml:space="preserve">О проекте закона Новосибирской области «О внесении изменений в Закон Новосибирской области «Об управлении и распоряжении государственной собственностью Новосибирской области», второе чтение. </w:t>
      </w:r>
      <w:r/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Любавский Андрей Валерьевич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  <w:highlight w:val="white"/>
        </w:rPr>
      </w:r>
      <w:r/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bCs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bookmarkStart w:id="0" w:name="undefined"/>
      <w:r/>
      <w:bookmarkEnd w:id="0"/>
      <w:r>
        <w:rPr>
          <w:rFonts w:ascii="Times New Roman" w:hAnsi="Times New Roman" w:cs="Times New Roman"/>
          <w:sz w:val="28"/>
          <w:szCs w:val="28"/>
        </w:rPr>
        <w:t xml:space="preserve">«О внесении изменений в Закон Новосибирской области «Об управлении и распоряжении государственной собственностью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cs="Calibri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6. </w:t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cs="Calibri"/>
          <w:b/>
          <w:sz w:val="28"/>
          <w:szCs w:val="28"/>
        </w:rPr>
        <w:t xml:space="preserve">О проекте закона Новосибирской област</w:t>
      </w:r>
      <w:r>
        <w:rPr>
          <w:rFonts w:ascii="Times New Roman" w:hAnsi="Times New Roman" w:cs="Calibri"/>
          <w:b/>
          <w:sz w:val="28"/>
          <w:szCs w:val="28"/>
        </w:rPr>
        <w:t xml:space="preserve">и «О внесении изменения в статью 2 закона Новосибирской области «О внесении изменений в статьи 2.4 и 8.11 Закона Новосибирской области «О налогах и особенностях налогообложения отдельных категорий налогоплательщиков в Новосибирской области», второе чтение.</w:t>
      </w:r>
      <w:r/>
      <w:r>
        <w:rPr>
          <w:rFonts w:ascii="Times New Roman" w:hAnsi="Times New Roman" w:cs="Calibri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  <w:highlight w:val="white"/>
        </w:rPr>
      </w:r>
      <w:r/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 w:eastAsia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Внести на рассмотрение сессии Законодательного Собрания Новосибирской области проект закона Новосибирской области </w:t>
      </w:r>
      <w:r>
        <w:rPr>
          <w:rFonts w:ascii="Times New Roman" w:hAnsi="Times New Roman"/>
          <w:sz w:val="28"/>
          <w:szCs w:val="28"/>
        </w:rPr>
        <w:t xml:space="preserve">«О внесении изменения в статью 2 закона Новосибирской области «О внесении изменений в статьи 2.4 и 8.11 Закона Новосибирской области «О налогах и особенностях налогообложения отдельных категорий налогоплательщиков в Новосибирской области»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рекомендовать его к принятию во втором чтении.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8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7.</w:t>
      </w:r>
      <w:r>
        <w:rPr>
          <w:rFonts w:ascii="Times New Roman" w:hAnsi="Times New Roman"/>
          <w:sz w:val="28"/>
          <w:szCs w:val="28"/>
        </w:rPr>
        <w:t xml:space="preserve">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согласовании передачи в безвозмездное пользование областного имущества, расположенного по адресу: </w:t>
      </w:r>
      <w:r>
        <w:rPr>
          <w:rFonts w:ascii="Times New Roman" w:hAnsi="Times New Roman"/>
          <w:b/>
          <w:sz w:val="28"/>
          <w:szCs w:val="28"/>
        </w:rPr>
        <w:t xml:space="preserve">Новосибирская область, Искитимский район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>
        <w:rPr>
          <w:rFonts w:ascii="Times New Roman" w:hAnsi="Times New Roman"/>
          <w:b/>
          <w:sz w:val="28"/>
          <w:szCs w:val="28"/>
        </w:rPr>
        <w:t xml:space="preserve">поселок Агролес, </w:t>
      </w:r>
      <w:r>
        <w:rPr>
          <w:rFonts w:ascii="Times New Roman" w:hAnsi="Times New Roman"/>
          <w:b/>
          <w:sz w:val="28"/>
          <w:szCs w:val="28"/>
        </w:rPr>
        <w:t xml:space="preserve">ул. </w:t>
      </w:r>
      <w:r>
        <w:rPr>
          <w:rFonts w:ascii="Times New Roman" w:hAnsi="Times New Roman"/>
          <w:b/>
          <w:sz w:val="28"/>
          <w:szCs w:val="28"/>
        </w:rPr>
        <w:t xml:space="preserve">Тимирязева</w:t>
      </w:r>
      <w:r>
        <w:rPr>
          <w:rFonts w:ascii="Times New Roman" w:hAnsi="Times New Roman"/>
          <w:b/>
          <w:sz w:val="28"/>
          <w:szCs w:val="28"/>
        </w:rPr>
        <w:t xml:space="preserve">, д. 2</w:t>
      </w:r>
      <w:r>
        <w:rPr>
          <w:rFonts w:ascii="Times New Roman" w:hAnsi="Times New Roman"/>
          <w:b/>
          <w:sz w:val="28"/>
          <w:szCs w:val="28"/>
        </w:rPr>
        <w:t xml:space="preserve">2</w:t>
      </w:r>
      <w:r>
        <w:rPr>
          <w:rFonts w:ascii="Times New Roman" w:hAnsi="Times New Roman"/>
          <w:b/>
          <w:sz w:val="28"/>
          <w:szCs w:val="28"/>
        </w:rPr>
        <w:t xml:space="preserve">, находящегося в оперативном управлении ГБПОУ Новосибирской области «</w:t>
      </w:r>
      <w:r>
        <w:rPr>
          <w:rFonts w:ascii="Times New Roman" w:hAnsi="Times New Roman"/>
          <w:b/>
          <w:sz w:val="28"/>
          <w:szCs w:val="28"/>
        </w:rPr>
        <w:t xml:space="preserve">Искитимский центр профессионального обучения</w:t>
      </w:r>
      <w:r>
        <w:rPr>
          <w:rFonts w:ascii="Times New Roman" w:hAnsi="Times New Roman"/>
          <w:b/>
          <w:sz w:val="28"/>
          <w:szCs w:val="28"/>
        </w:rPr>
        <w:t xml:space="preserve">». </w:t>
      </w:r>
      <w:r/>
      <w:r>
        <w:rPr>
          <w:rFonts w:ascii="Times New Roman" w:hAnsi="Times New Roman"/>
          <w:b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  <w:highlight w:val="none"/>
        </w:rPr>
        <w:t xml:space="preserve">Cавостьянов Юрий Иванович</w:t>
      </w:r>
      <w:r>
        <w:rPr>
          <w:rFonts w:ascii="Times New Roman" w:hAnsi="Times New Roman"/>
          <w:sz w:val="28"/>
          <w:szCs w:val="28"/>
        </w:rPr>
        <w:t xml:space="preserve"> – и.о. министра образования Новосибирской области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white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7.1. </w:t>
      </w:r>
      <w:r>
        <w:rPr>
          <w:rFonts w:ascii="Times New Roman" w:hAnsi="Times New Roman" w:cs="Times New Roman"/>
          <w:sz w:val="28"/>
          <w:szCs w:val="28"/>
        </w:rPr>
        <w:t xml:space="preserve">Принять к сведению информацию о согласовании передачи в безвозмездное пользование областного имущества, расположенного по адресу: </w:t>
      </w:r>
      <w:r>
        <w:rPr>
          <w:rFonts w:ascii="Times New Roman" w:hAnsi="Times New Roman" w:cs="Times New Roman"/>
          <w:sz w:val="28"/>
          <w:szCs w:val="28"/>
        </w:rPr>
        <w:t xml:space="preserve">Новосибирская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Искитимский</w:t>
      </w:r>
      <w:r>
        <w:rPr>
          <w:rFonts w:ascii="Times New Roman" w:hAnsi="Times New Roman" w:cs="Times New Roman"/>
          <w:sz w:val="28"/>
          <w:szCs w:val="28"/>
        </w:rPr>
        <w:t xml:space="preserve"> район, поселок </w:t>
      </w:r>
      <w:r>
        <w:rPr>
          <w:rFonts w:ascii="Times New Roman" w:hAnsi="Times New Roman" w:cs="Times New Roman"/>
          <w:sz w:val="28"/>
          <w:szCs w:val="28"/>
        </w:rPr>
        <w:t xml:space="preserve">Агролес</w:t>
      </w:r>
      <w:r>
        <w:rPr>
          <w:rFonts w:ascii="Times New Roman" w:hAnsi="Times New Roman" w:cs="Times New Roman"/>
          <w:sz w:val="28"/>
          <w:szCs w:val="28"/>
        </w:rPr>
        <w:t xml:space="preserve">, ул. Тимирязева, д. 22, находящегося в оперативном управлении ГБПОУ Новосибирской области «</w:t>
      </w:r>
      <w:r>
        <w:rPr>
          <w:rFonts w:ascii="Times New Roman" w:hAnsi="Times New Roman" w:cs="Times New Roman"/>
          <w:sz w:val="28"/>
          <w:szCs w:val="28"/>
        </w:rPr>
        <w:t xml:space="preserve">Искитимский</w:t>
      </w:r>
      <w:r>
        <w:rPr>
          <w:rFonts w:ascii="Times New Roman" w:hAnsi="Times New Roman" w:cs="Times New Roman"/>
          <w:sz w:val="28"/>
          <w:szCs w:val="28"/>
        </w:rPr>
        <w:t xml:space="preserve"> центр профессионального обучения».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20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7.2. </w:t>
      </w:r>
      <w:r>
        <w:rPr>
          <w:rFonts w:ascii="Times New Roman" w:hAnsi="Times New Roman" w:cs="Times New Roman"/>
          <w:sz w:val="28"/>
          <w:szCs w:val="28"/>
        </w:rPr>
        <w:t xml:space="preserve">С учётом положительного решения комитета Законодательного Собрания Новосибирской области по культуре, образованию, науке, спорту и молодежной политике согласиться с передачей в безвозмездное пользование </w:t>
      </w:r>
      <w:r>
        <w:rPr>
          <w:rFonts w:ascii="Times New Roman" w:hAnsi="Times New Roman" w:cs="Times New Roman"/>
          <w:sz w:val="28"/>
          <w:szCs w:val="28"/>
        </w:rPr>
        <w:t xml:space="preserve">нежилых помещений общей площадью 95,9 кв. м., расположенных по адресу: Новосибирская область, </w:t>
      </w:r>
      <w:r>
        <w:rPr>
          <w:rFonts w:ascii="Times New Roman" w:hAnsi="Times New Roman" w:cs="Times New Roman"/>
          <w:sz w:val="28"/>
          <w:szCs w:val="28"/>
        </w:rPr>
        <w:t xml:space="preserve">Искитимский</w:t>
      </w:r>
      <w:r>
        <w:rPr>
          <w:rFonts w:ascii="Times New Roman" w:hAnsi="Times New Roman" w:cs="Times New Roman"/>
          <w:sz w:val="28"/>
          <w:szCs w:val="28"/>
        </w:rPr>
        <w:t xml:space="preserve"> район, п. </w:t>
      </w:r>
      <w:r>
        <w:rPr>
          <w:rFonts w:ascii="Times New Roman" w:hAnsi="Times New Roman" w:cs="Times New Roman"/>
          <w:sz w:val="28"/>
          <w:szCs w:val="28"/>
        </w:rPr>
        <w:t xml:space="preserve">Агролес</w:t>
      </w:r>
      <w:r>
        <w:rPr>
          <w:rFonts w:ascii="Times New Roman" w:hAnsi="Times New Roman" w:cs="Times New Roman"/>
          <w:sz w:val="28"/>
          <w:szCs w:val="28"/>
        </w:rPr>
        <w:t xml:space="preserve">, ул. Тимирязева, д. 22, находящихся в оперативном управлении ГБПОУ НСО «</w:t>
      </w:r>
      <w:r>
        <w:rPr>
          <w:rFonts w:ascii="Times New Roman" w:hAnsi="Times New Roman" w:cs="Times New Roman"/>
          <w:sz w:val="28"/>
          <w:szCs w:val="28"/>
        </w:rPr>
        <w:t xml:space="preserve">Искитимский</w:t>
      </w:r>
      <w:r>
        <w:rPr>
          <w:rFonts w:ascii="Times New Roman" w:hAnsi="Times New Roman" w:cs="Times New Roman"/>
          <w:sz w:val="28"/>
          <w:szCs w:val="28"/>
        </w:rPr>
        <w:t xml:space="preserve"> центр профессионального обучения», ООО «Транс-Пит» для организации услуг питания обучающихся и сотрудников образовательного учреждения сроком на одиннадцать месяцев.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right="-141" w:firstLine="708"/>
        <w:jc w:val="both"/>
        <w:spacing w:after="0" w:line="240" w:lineRule="auto"/>
        <w:shd w:val="clear" w:color="ffffff" w:fill="ffffff"/>
        <w:rPr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8. </w:t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  <w:t xml:space="preserve">О проекте плана работы комитета по бюджетной, финансово- экономической политике и собственности на 2026 год.</w:t>
      </w:r>
      <w:r/>
      <w:r>
        <w:rPr>
          <w:b/>
        </w:rPr>
      </w:r>
    </w:p>
    <w:p>
      <w:pPr>
        <w:ind w:right="-141" w:firstLine="708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 xml:space="preserve">Доклад: </w:t>
      </w:r>
      <w:r>
        <w:rPr>
          <w:rFonts w:ascii="Times New Roman" w:hAnsi="Times New Roman"/>
          <w:sz w:val="28"/>
          <w:szCs w:val="28"/>
        </w:rPr>
        <w:t xml:space="preserve">Кальченко Сергей Владимирович – заместитель председателя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>
        <w:rPr>
          <w:rFonts w:ascii="Times New Roman" w:hAnsi="Times New Roman"/>
          <w:b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</w:r>
    </w:p>
    <w:p>
      <w:pPr>
        <w:ind w:right="225"/>
        <w:jc w:val="both"/>
        <w:spacing w:after="0" w:line="240" w:lineRule="auto"/>
        <w:rPr>
          <w:rFonts w:ascii="Times New Roman" w:hAnsi="Times New Roman" w:eastAsia="Times New Roman" w:cs="Times New Roman"/>
          <w:i/>
          <w:sz w:val="28"/>
          <w:szCs w:val="28"/>
          <w:highlight w:val="yellow"/>
        </w:rPr>
      </w:pPr>
      <w:r>
        <w:rPr>
          <w:rFonts w:ascii="Times New Roman" w:hAnsi="Times New Roman" w:eastAsia="Times New Roman" w:cs="Times New Roman"/>
          <w:i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yellow"/>
        </w:rPr>
      </w:r>
      <w:r>
        <w:rPr>
          <w:rFonts w:ascii="Times New Roman" w:hAnsi="Times New Roman" w:eastAsia="Times New Roman" w:cs="Times New Roman"/>
          <w:i/>
          <w:sz w:val="28"/>
          <w:szCs w:val="28"/>
          <w:highlight w:val="yellow"/>
        </w:rPr>
      </w:r>
    </w:p>
    <w:p>
      <w:pPr>
        <w:ind w:firstLine="708"/>
        <w:jc w:val="both"/>
        <w:spacing w:after="0" w:line="240" w:lineRule="auto"/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  <w:t xml:space="preserve">РЕШИЛИ:</w:t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  <w:r>
        <w:rPr>
          <w:rFonts w:ascii="Times New Roman" w:hAnsi="Times New Roman" w:eastAsia="Times New Roman" w:cs="Times New Roman"/>
          <w:b/>
          <w:sz w:val="28"/>
          <w:szCs w:val="28"/>
          <w:highlight w:val="white"/>
        </w:rPr>
      </w:r>
    </w:p>
    <w:p>
      <w:pPr>
        <w:pStyle w:val="722"/>
        <w:ind w:firstLine="708"/>
        <w:jc w:val="both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</w:t>
      </w:r>
      <w:r>
        <w:rPr>
          <w:rFonts w:ascii="Times New Roman" w:hAnsi="Times New Roman" w:cs="Times New Roman"/>
          <w:sz w:val="28"/>
          <w:szCs w:val="28"/>
        </w:rPr>
        <w:t xml:space="preserve">твердить план работы комитета по бюджетной, финансово-экономической </w:t>
      </w:r>
      <w:r>
        <w:rPr>
          <w:rFonts w:ascii="Times New Roman" w:hAnsi="Times New Roman" w:cs="Times New Roman"/>
          <w:sz w:val="28"/>
          <w:szCs w:val="28"/>
        </w:rPr>
        <w:t xml:space="preserve">политике и собственности на 2026</w:t>
      </w:r>
      <w:r>
        <w:rPr>
          <w:rFonts w:ascii="Times New Roman" w:hAnsi="Times New Roman" w:cs="Times New Roman"/>
          <w:sz w:val="28"/>
          <w:szCs w:val="28"/>
        </w:rPr>
        <w:t xml:space="preserve"> год согласно приложению.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ГОЛОСОВАЛИ: </w:t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ind w:firstLine="708"/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«За» – единогласно.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shd w:val="clear" w:color="auto" w:fill="ffffff"/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Председателя Законодательного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Собрания Новосибирской области –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комитета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И.В. Диденко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7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 w:clear="all"/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1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7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17 декабря 2025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24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24"/>
        <w:ind w:firstLine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pStyle w:val="724"/>
        <w:ind w:firstLine="0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П Л А Н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работы комитета по бюджетной, финансово-экономической политике 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и собственности на 2026 год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tbl>
      <w:tblPr>
        <w:tblW w:w="10361" w:type="dxa"/>
        <w:tblInd w:w="-14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459"/>
        <w:gridCol w:w="39"/>
        <w:gridCol w:w="70"/>
        <w:gridCol w:w="4110"/>
        <w:gridCol w:w="113"/>
        <w:gridCol w:w="76"/>
        <w:gridCol w:w="66"/>
        <w:gridCol w:w="1872"/>
        <w:gridCol w:w="1496"/>
        <w:gridCol w:w="359"/>
        <w:gridCol w:w="326"/>
        <w:gridCol w:w="1375"/>
      </w:tblGrid>
      <w:tr>
        <w:tblPrEx/>
        <w:trPr>
          <w:cantSplit/>
          <w:trHeight w:val="240"/>
        </w:trPr>
        <w:tc>
          <w:tcPr>
            <w:shd w:val="clear" w:color="ffffff" w:fill="ffffff" w:themeFill="background1"/>
            <w:tcW w:w="459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gridSpan w:val="4"/>
            <w:shd w:val="clear" w:color="ffffff" w:fill="ffffff" w:themeFill="background1"/>
            <w:tcW w:w="4332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Содержание работы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gridSpan w:val="6"/>
            <w:shd w:val="clear" w:color="ffffff" w:fill="ffffff" w:themeFill="background1"/>
            <w:tcW w:w="419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Ответственный за исполнение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W w:w="1375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Срок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исполнения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</w:tr>
      <w:tr>
        <w:tblPrEx/>
        <w:trPr>
          <w:cantSplit/>
          <w:trHeight w:val="240"/>
        </w:trPr>
        <w:tc>
          <w:tcPr>
            <w:shd w:val="clear" w:color="ffffff" w:fill="ffffff" w:themeFill="background1"/>
            <w:tcW w:w="459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gridSpan w:val="4"/>
            <w:shd w:val="clear" w:color="ffffff" w:fill="ffffff" w:themeFill="background1"/>
            <w:tcW w:w="4332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  <w:tc>
          <w:tcPr>
            <w:gridSpan w:val="3"/>
            <w:shd w:val="clear" w:color="ffffff" w:fill="ffffff" w:themeFill="background1"/>
            <w:tcW w:w="201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Субъект права законодательной инициативы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18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От комитета, аппарата Законодательного Собрания Новосибирской области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W w:w="1375" w:type="dxa"/>
            <w:vAlign w:val="center"/>
            <w:vMerge w:val="continue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12"/>
            <w:shd w:val="clear" w:color="ffffff" w:fill="ffffff" w:themeFill="background1"/>
            <w:tcW w:w="103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. Законотворческая и нормотворческая деятельность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/>
                <w:iCs/>
                <w:sz w:val="26"/>
                <w:szCs w:val="26"/>
              </w:rPr>
            </w:r>
          </w:p>
        </w:tc>
      </w:tr>
      <w:tr>
        <w:tblPrEx/>
        <w:trPr>
          <w:trHeight w:val="1405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4"/>
            <w:shd w:val="clear" w:color="ffffff" w:fill="ffffff" w:themeFill="background1"/>
            <w:tcW w:w="436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О </w:t>
            </w:r>
            <w:r>
              <w:rPr>
                <w:rFonts w:ascii="Times New Roman" w:hAnsi="Times New Roman"/>
                <w:spacing w:val="-2"/>
                <w:sz w:val="26"/>
                <w:szCs w:val="26"/>
              </w:rPr>
              <w:t xml:space="preserve">внесении изменений в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 Закон Новосибирской области «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Об управлении и распоряжении государственной собственностью Новосибирской области</w:t>
            </w: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»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bCs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  <w:tc>
          <w:tcPr>
            <w:shd w:val="clear" w:color="ffffff" w:fill="ffffff" w:themeFill="background1"/>
            <w:tcW w:w="18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комитет</w:t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181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bCs w:val="0"/>
                <w:i w:val="0"/>
                <w:sz w:val="26"/>
                <w:szCs w:val="26"/>
                <w:lang w:val="ru-RU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Любавский А.В.</w:t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bCs w:val="0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рабочая группа комитета</w:t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  <w:r/>
          </w:p>
        </w:tc>
        <w:tc>
          <w:tcPr>
            <w:shd w:val="clear" w:color="ffffff" w:fill="ffffff" w:themeFill="background1"/>
            <w:tcW w:w="13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квартал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842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4"/>
            <w:shd w:val="clear" w:color="ffffff" w:fill="ffffff" w:themeFill="background1"/>
            <w:tcW w:w="436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Об исполнении областного бюджета Новосибирской области за 2025 год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W w:w="18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Губернатор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181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  <w:lang w:val="ru-RU"/>
              </w:rPr>
              <w:t xml:space="preserve">Диденко И.В.</w:t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</w:p>
          <w:p>
            <w:pPr>
              <w:pStyle w:val="762"/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рабочая группа комитета</w:t>
            </w:r>
            <w:r>
              <w:rPr>
                <w:sz w:val="26"/>
                <w:szCs w:val="26"/>
              </w:rPr>
            </w:r>
            <w:r>
              <w:rPr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W w:w="13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II квартал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1335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4"/>
            <w:shd w:val="clear" w:color="ffffff" w:fill="ffffff" w:themeFill="background1"/>
            <w:tcW w:w="436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 внесении изменений в приложения 1 и 2 к Закону Новосибирской области «О налогах и особенностях налогообложения отдельных категорий налогоплательщиков в Новосибирской области»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shd w:val="clear" w:color="ffffff" w:fill="ffffff" w:themeFill="background1"/>
            <w:tcW w:w="1872" w:type="dxa"/>
            <w:textDirection w:val="lrTb"/>
            <w:noWrap w:val="false"/>
          </w:tcPr>
          <w:p>
            <w:pPr>
              <w:pStyle w:val="762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Губернатор Новосибирской области</w:t>
            </w:r>
            <w:r>
              <w:rPr>
                <w:rFonts w:ascii="Times New Roman" w:hAnsi="Times New Roman"/>
                <w:bCs/>
                <w:sz w:val="26"/>
                <w:szCs w:val="26"/>
              </w:rPr>
            </w:r>
            <w:r>
              <w:rPr>
                <w:rFonts w:ascii="Times New Roman" w:hAnsi="Times New Roman"/>
                <w:bCs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181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Кальченко С.В.</w:t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рабочая группа комитета</w:t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W w:w="13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Ш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квартал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874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4"/>
            <w:shd w:val="clear" w:color="ffffff" w:fill="ffffff" w:themeFill="background1"/>
            <w:tcW w:w="4365" w:type="dxa"/>
            <w:textDirection w:val="lrTb"/>
            <w:noWrap w:val="false"/>
          </w:tcPr>
          <w:p>
            <w:pPr>
              <w:pStyle w:val="762"/>
              <w:jc w:val="both"/>
              <w:rPr>
                <w:rFonts w:ascii="Times New Roman" w:hAnsi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 xml:space="preserve">Об областном бюджете Новосибирской области на 2027 год и плановый период 2028 и 2029 годов</w:t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</w:rPr>
            </w:r>
            <w:r>
              <w:rPr>
                <w:rFonts w:ascii="Times New Roman" w:hAnsi="Times New Roman"/>
                <w:sz w:val="26"/>
                <w:szCs w:val="26"/>
                <w:highlight w:val="none"/>
              </w:rPr>
            </w:r>
          </w:p>
        </w:tc>
        <w:tc>
          <w:tcPr>
            <w:shd w:val="clear" w:color="ffffff" w:fill="ffffff" w:themeFill="background1"/>
            <w:tcW w:w="1872" w:type="dxa"/>
            <w:textDirection w:val="lrTb"/>
            <w:noWrap w:val="false"/>
          </w:tcPr>
          <w:p>
            <w:pPr>
              <w:pStyle w:val="762"/>
              <w:rPr>
                <w:rFonts w:ascii="Times New Roman" w:hAnsi="Times New Roman"/>
                <w:bCs/>
                <w:sz w:val="26"/>
                <w:szCs w:val="26"/>
              </w:rPr>
            </w:pPr>
            <w:r>
              <w:rPr>
                <w:rFonts w:ascii="Times New Roman" w:hAnsi="Times New Roman"/>
                <w:bCs/>
                <w:sz w:val="26"/>
                <w:szCs w:val="26"/>
              </w:rPr>
              <w:t xml:space="preserve">Губернатор Новосибирской области</w:t>
            </w:r>
            <w:r>
              <w:rPr>
                <w:rFonts w:ascii="Times New Roman" w:hAnsi="Times New Roman"/>
                <w:bCs/>
                <w:sz w:val="26"/>
                <w:szCs w:val="26"/>
              </w:rPr>
            </w:r>
            <w:r>
              <w:rPr>
                <w:rFonts w:ascii="Times New Roman" w:hAnsi="Times New Roman"/>
                <w:bCs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181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Диденко И.В.</w:t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рабочая группа комитета</w:t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W w:w="13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IV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квартал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597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4"/>
            <w:shd w:val="clear" w:color="ffffff" w:fill="ffffff" w:themeFill="background1"/>
            <w:tcW w:w="436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Постановление Законодательного Собрания Новосибирской области 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«Об отчете о результатах приватизации государственного имущества Новосибирской области за 2025 год»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shd w:val="clear" w:color="ffffff" w:fill="ffffff" w:themeFill="background1"/>
            <w:tcW w:w="18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67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Департамент имущества и земельных отношений НСО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181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Любавский А.В.</w:t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рабочая группа комитета</w:t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W w:w="13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I квартал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597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gridSpan w:val="4"/>
            <w:shd w:val="clear" w:color="ffffff" w:fill="ffffff" w:themeFill="background1"/>
            <w:tcW w:w="436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Постановление Законодательного Собрания Новосибирской области 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«О годовом отчете, о деятельности Контрольно-счетной палаты Новосибирской области за 2025 год»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shd w:val="clear" w:color="ffffff" w:fill="ffffff" w:themeFill="background1"/>
            <w:tcW w:w="18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67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Контрольно-счетная палата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181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Комитет, </w:t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департамент по социально-экономическим вопросам</w:t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W w:w="13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II квартал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1407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  <w:t xml:space="preserve">7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  <w:highlight w:val="white"/>
              </w:rPr>
            </w:r>
          </w:p>
        </w:tc>
        <w:tc>
          <w:tcPr>
            <w:gridSpan w:val="4"/>
            <w:shd w:val="clear" w:color="ffffff" w:fill="ffffff" w:themeFill="background1"/>
            <w:tcW w:w="436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Постановление Законодательного Собрания Новосибирской области 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«Об отчете, об управлении и распоряжении государственной собственностью Новосибирской области за 2025 год»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shd w:val="clear" w:color="ffffff" w:fill="ffffff" w:themeFill="background1"/>
            <w:tcW w:w="18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67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Губернатор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tabs>
                <w:tab w:val="left" w:pos="567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(ДИЗО НСО)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181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Любавский А.В.</w:t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рабочая группа комитета</w:t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W w:w="13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квартал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1399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8</w:t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r>
          </w:p>
        </w:tc>
        <w:tc>
          <w:tcPr>
            <w:gridSpan w:val="4"/>
            <w:shd w:val="clear" w:color="ffffff" w:fill="ffffff" w:themeFill="background1"/>
            <w:tcW w:w="4365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Постановление Законодательного Собрания Новосибирской области «Отчет о ходе исполнения плана мероприятий по реализации Стратегии социально-экономического развития Новосибирской области до 2030 года за 2025 год»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  <w:tc>
          <w:tcPr>
            <w:shd w:val="clear" w:color="ffffff" w:fill="ffffff" w:themeFill="background1"/>
            <w:tcW w:w="18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tabs>
                <w:tab w:val="left" w:pos="567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Губернатор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tabs>
                <w:tab w:val="left" w:pos="5670" w:leader="none"/>
              </w:tabs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(министерство экономического развития НСО)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181" w:type="dxa"/>
            <w:textDirection w:val="lrTb"/>
            <w:noWrap w:val="false"/>
          </w:tcPr>
          <w:p>
            <w:pPr>
              <w:pStyle w:val="762"/>
              <w:jc w:val="center"/>
              <w:rPr>
                <w:rFonts w:ascii="Times New Roman" w:hAnsi="Times New Roman" w:cs="Times New Roman"/>
                <w:i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Кальченко С.В.</w:t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sz w:val="26"/>
                <w:szCs w:val="26"/>
              </w:rPr>
            </w:r>
          </w:p>
          <w:p>
            <w:pPr>
              <w:pStyle w:val="762"/>
              <w:jc w:val="center"/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 w:val="0"/>
                <w:sz w:val="26"/>
                <w:szCs w:val="26"/>
                <w:lang w:val="ru-RU"/>
              </w:rPr>
              <w:t xml:space="preserve">рабочая группа комитета</w:t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 w:val="0"/>
                <w:iCs w:val="0"/>
                <w:sz w:val="26"/>
                <w:szCs w:val="26"/>
              </w:rPr>
            </w:r>
          </w:p>
        </w:tc>
        <w:tc>
          <w:tcPr>
            <w:shd w:val="clear" w:color="ffffff" w:fill="ffffff" w:themeFill="background1"/>
            <w:tcW w:w="1375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III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квартал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12"/>
            <w:shd w:val="clear" w:color="ffffff" w:fill="ffffff" w:themeFill="background1"/>
            <w:tcBorders>
              <w:bottom w:val="none" w:color="000000" w:sz="4" w:space="0"/>
            </w:tcBorders>
            <w:tcW w:w="103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  <w:t xml:space="preserve">. Контрольно-аналитическая деятельность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u w:val="single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12"/>
            <w:shd w:val="clear" w:color="ffffff" w:fill="ffffff" w:themeFill="background1"/>
            <w:tcBorders>
              <w:top w:val="none" w:color="000000" w:sz="4" w:space="0"/>
            </w:tcBorders>
            <w:tcW w:w="10361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Содержание мероприятий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Ответственный за исполнение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Срок исполнения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Анализ исполнения областного бюджета за 2025 год, за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квартал,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полугодие, 9 месяцев 2026 года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Комитет,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департамент по социально-экономическим вопросам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месяца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после отчета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Анализ поступления налоговых платежей в бюджетную систему Новосибирской области по данным Управления Федеральной  налоговой службы по Новосибирской области за 2025 год, за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квартал,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I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 полугодие, 9 месяцев 2026 года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Комитет,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департамент по социально-экономическим вопросам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течение месяца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после отчета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Отчет о ходе реализации и об оценке эффективности государственных программ Новосибирской области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Комитет,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департамент по социально-экономическим вопросам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III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квартал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Об исполнении постановления Законодательного Собрания Новосибирской области от 20.11.2025 № 68-пр «О проекте закона Новосибирской области «Об областном бюджете Новосибирской области на 2026 год и плановый период 2027 и 2028 годов» 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(первое чтение)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  <w:t xml:space="preserve">Диденко И.В.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  <w:t xml:space="preserve">Кальченко С.В.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аппарат комитета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б исполнении постановления Законодательного Собрания Новосибирской области от 30.10.2025 № 45 «Об отчете о ходе исполнения Плана мероприятий по реализации Стратегии социально-экономического развития Новосибирской области на период до 2030 года за 2024 год»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Кальченко С.В.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аппарат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389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Рассмотрение возможностей увеличения доходной базы консолидированного областного бюджета Новосибирской области, поиск доп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олнительных резервов и ресурсов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в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т.ч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. за счет усиления контроля над расходами физических лиц в целях недопущения уклонения от уплаты налогов (проработка федеральной законодательной инициативы)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Диденко И.В.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аппарат комитета, департамент по правовым вопросам,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департамент по социально-экономическим вопросам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Управление Федеральной налоговой службы по НСО,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м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инистерство финансов и налоговой политики НСО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276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Рассмотрение эффективности действующих региональных налоговых льгот и эффективности расходования средств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 областного бюджета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Диденко И.В.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аппарат комитета, департамент по правовым вопросам,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департамент по социально-экономическим вопросам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2336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line="240" w:lineRule="auto"/>
              <w:rPr>
                <w:rFonts w:ascii="Times New Roman" w:hAnsi="Times New Roman" w:cs="Times New Roman"/>
                <w:color w:val="06060f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Рассмотрение вопросов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, связанных с уплатой стразовых взносов на обязательное медицинское страхование за неработающее население, в части выявление теневой занятости и поиска резервов снижения нагрузки на областной бюджет</w:t>
            </w:r>
            <w:r>
              <w:rPr>
                <w:rFonts w:ascii="Times New Roman" w:hAnsi="Times New Roman" w:cs="Times New Roman"/>
                <w:color w:val="06060f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6060f"/>
                <w:sz w:val="26"/>
                <w:szCs w:val="26"/>
                <w:highlight w:val="white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Диденко И.В.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аппарат комитета, департамент по правовым вопросам,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департамент по социально-экономическим вопросам</w:t>
            </w:r>
            <w:r>
              <w:rPr>
                <w:rFonts w:ascii="Times New Roman" w:hAnsi="Times New Roman" w:cs="Times New Roman"/>
                <w:iCs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iCs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УФНС, ФОМС НСО.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Минфин НСО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299"/>
        </w:trPr>
        <w:tc>
          <w:tcPr>
            <w:gridSpan w:val="2"/>
            <w:shd w:val="clear" w:color="ffffff" w:fill="ffffff" w:themeFill="background1"/>
            <w:tcW w:w="498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Рассмотрение информации об эффективности деятельности 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хозяйственных обществ, акции (доли) в уставных капиталах которых находятся в государственной собственности Новосибирской области в отношении которых Новосибирская область осуществляет права акционера.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Диденко И.В.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Любавский А.В.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аппарат комитета, департамент по правовым вопросам,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департамент по социально-экономическим вопросам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trHeight w:val="299"/>
        </w:trPr>
        <w:tc>
          <w:tcPr>
            <w:gridSpan w:val="2"/>
            <w:shd w:val="clear" w:color="ffffff" w:fill="ffffff" w:themeFill="background1"/>
            <w:tcW w:w="498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Рассмотрение вопросов по реализации действующих соглашений ГЧП и концессий, а также планируемых к реализации проектов в сфере ГЧП.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Диденко И.В.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Любавский А.В.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Кальченко С.В.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аппарат комитета, департамент по правовым вопросам,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департамент по социально-экономическим вопросам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vMerge w:val="restart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Рассмотрение актов плановых проверок, представляемых Контрольно-счетной палатой Новосибирской области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Диденко И.В.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Кальченко С.В.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Любавский А.В.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аппарат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по мере поступления, согласно плану КСП НСО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Рассмотрение ежеквартальной информации об использовании бюджетных ассигнований инвестиционного фонда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Диденко И.В.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аппарат комитета, департамент по правовым вопросам,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департамент по социально-экономическим вопросам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ежеквартально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Рассм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отрение информации министерства экономического развития Новосибирской области о реализации новых инвестиционных и инфраструктурных проектов, реализуемых в рамках постановлений Правительства Российской Федерации от 19.10.2020 № 1704 и от 14.07.2021 № 1189,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а также о реализации проектов в рамках постановления Правительства Российской Федерации от  01.02.2015 № 79 «Об утверждении Правил списания задолженности субъ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ектов Российской Федерации перед Российской Федерацией по отдельным бюджетным кредитам и направления субъектами Российской Федерации средств, высвобождаемых в результате списания задолженности субъектов Российской Федерации по указанным бюджетным кредитам»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Диденко И.В.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  <w:t xml:space="preserve">Кальченко С.В.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  <w:t xml:space="preserve">Любавский А.В.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аппарат комитета, департамент по правовым вопросам,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департамент по социально-экономическим вопросам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  <w:t xml:space="preserve">ежеквартально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14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Рассмотрение протестов прокурора Новосибирской области, экспертных заключений Управления Министерства юстиции Российской Федерации по Новосибирской области, а также обращений органов местного самоуправления, организаций и физических лиц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none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  <w:t xml:space="preserve">Диденко И.В.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  <w:t xml:space="preserve">Кальченко С.В.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</w:rPr>
              <w:t xml:space="preserve">Любавский А.В.</w:t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iCs/>
                <w:color w:val="000000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iCs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iCs/>
                <w:sz w:val="26"/>
                <w:szCs w:val="26"/>
                <w:highlight w:val="white"/>
              </w:rPr>
              <w:t xml:space="preserve">аппарат комитета, департамент по правовым вопросам</w:t>
            </w:r>
            <w:r>
              <w:rPr>
                <w:rFonts w:ascii="Times New Roman" w:hAnsi="Times New Roman" w:cs="Times New Roman"/>
                <w:iCs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iCs/>
                <w:sz w:val="26"/>
                <w:szCs w:val="26"/>
                <w:highlight w:val="white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по мере поступления документов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299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15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highlight w:val="white"/>
              </w:rPr>
              <w:t xml:space="preserve">Рассмотрение информация о внесении изменений в сводную бюджетную роспись областного бюджета Новосибирской области без внесения изменений в областной бюджет Новосибирской области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highlight w:val="white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Диденко И.В.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аппарат комитета, департамент по социально-экономическим вопросам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,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ежеквартально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>
          <w:trHeight w:val="299"/>
        </w:trPr>
        <w:tc>
          <w:tcPr>
            <w:gridSpan w:val="2"/>
            <w:shd w:val="clear" w:color="ffffff" w:fill="ffffff" w:themeFill="background1"/>
            <w:tcW w:w="49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16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2"/>
            <w:shd w:val="clear" w:color="ffffff" w:fill="ffffff" w:themeFill="background1"/>
            <w:tcW w:w="4180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bCs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bCs/>
                <w:sz w:val="26"/>
                <w:szCs w:val="26"/>
                <w:highlight w:val="white"/>
              </w:rPr>
              <w:t xml:space="preserve">П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highlight w:val="white"/>
              </w:rPr>
              <w:t xml:space="preserve">роведение анализа установленного в областном бюджете перечня оснований для внесения изменений в сводную бюджетную роспись областного бюджета на предмет избыточности (обоснованности)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highlight w:val="white"/>
              </w:rPr>
            </w:r>
          </w:p>
        </w:tc>
        <w:tc>
          <w:tcPr>
            <w:gridSpan w:val="5"/>
            <w:shd w:val="clear" w:color="ffffff" w:fill="ffffff" w:themeFill="background1"/>
            <w:tcW w:w="362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Диденко И.В.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аппарат комитета, департамент по социально-экономическим вопросам,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Контрольно-счетная палата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3"/>
            <w:shd w:val="clear" w:color="ffffff" w:fill="ffffff" w:themeFill="background1"/>
            <w:tcW w:w="206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  <w:lang w:val="en-US"/>
              </w:rPr>
              <w:t xml:space="preserve">I 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квартал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12"/>
            <w:shd w:val="clear" w:color="ffffff" w:fill="ffffff" w:themeFill="background1"/>
            <w:tcW w:w="1036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  <w:u w:val="single"/>
                <w:lang w:val="en-US"/>
              </w:rPr>
              <w:t xml:space="preserve">III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  <w:u w:val="single"/>
              </w:rPr>
              <w:t xml:space="preserve">. Организационно-методическая деятельность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  <w:u w:val="singl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  <w:u w:val="single"/>
              </w:rPr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  <w:u w:val="single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</w:rPr>
              <w:t xml:space="preserve">Содержание мероприятий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</w:rPr>
              <w:t xml:space="preserve">Ответственный за исполнение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white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highlight w:val="white"/>
              </w:rPr>
              <w:t xml:space="preserve">Срок исполнения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6"/>
                <w:szCs w:val="26"/>
                <w:highlight w:val="white"/>
              </w:rPr>
            </w:r>
          </w:p>
        </w:tc>
      </w:tr>
      <w:tr>
        <w:tblPrEx/>
        <w:trPr>
          <w:cantSplit/>
          <w:trHeight w:val="1609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Разработка мероприятий по рассмотрению проекта закона Новосибирской области «Об исполнении областного бюджета Новосибирской области за 2025 год» в Законодательном Собрании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Комитет 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совместно с аппаратом Законодательного Собрания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июнь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cantSplit/>
          <w:trHeight w:val="1164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Подготовка проекта рекомендаций публичных слушаний по отчету об исполнении областного бюджета Новосибирской области за 2025 год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Диденко И.В.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аппарат комитета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 квартал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cantSplit/>
          <w:trHeight w:val="1051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3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Подготовка и проведение публичных слушаний по отчету об исполнении областного бюджета Новосибирской области за 2025 год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Комитет 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совместно с аппаратом Законодательного Собрания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  <w:lang w:val="en-US"/>
              </w:rPr>
              <w:t xml:space="preserve">II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 квартал, по отдельному плану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4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Разработка мероприятий по рассмотрению проекта закона Новосибирской области «Об областном бюджете Новосибирской области на 2027 год и плановый период 2028 и 2029 годов» в Законодательном Собрании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Комитет 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совместно с аппаратом Законодательного Собрания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октябрь-ноябрь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Подготовка проекта рекомендаций публичных слушаний по проекту закона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«Об областном бюджете Новосибирской области на 2027 год и плановый период 2028 и 2029 годов»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shd w:val="clear" w:color="auto" w:fill="ffffff"/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Диденко И.В.</w:t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color w:val="000000"/>
                <w:sz w:val="26"/>
                <w:szCs w:val="26"/>
                <w:highlight w:val="white"/>
              </w:rPr>
              <w:t xml:space="preserve">аппарат комитета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highlight w:val="white"/>
                <w:lang w:val="en-US"/>
              </w:rPr>
              <w:t xml:space="preserve">IV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  <w:t xml:space="preserve"> квартал</w:t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white"/>
              </w:rPr>
            </w:r>
          </w:p>
        </w:tc>
      </w:tr>
      <w:tr>
        <w:tblPrEx/>
        <w:trPr>
          <w:cantSplit/>
          <w:trHeight w:val="1605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и проведение публичных слушаний по проекту закона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«Об областном бюджете Новосибирской области на 2027 год и плановый период 2028 и 2029 годов»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Комитет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совместно с аппаратом Законодательного Собрания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IV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квартал, по отдельному плану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1125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Участие в заседаниях Президиума Законодательного Собрания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комитета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или заместители председателя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планом работы Законодательного Собрания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695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8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Участие в заседаниях Правительства Новосибирской области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комитета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или заместители председателя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еженедельно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9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и проведение заседаний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комитета, аппарат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планом работы Законодательного Собрания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1117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10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и проведение рабочих групп комитета, совещаний по предварительному рассмотрению вопросов, выносимых на рассмотрение комитета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Председатель комитета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или заместители председателя комитета, аппарат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о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необходимости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621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11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Подготовка и проведение выездных заседаний комитета, иных мероприятий комитета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Члены комитета,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аппарат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по отдельному плану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240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2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Оказание методической помощи органам местного самоуправления по вопросам, находящимся в ведении комитета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Члены комитета,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аппарат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о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необходимости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782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13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Накопление информации, анализ и обобщение по вопросам ведения и полномочий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Члены комитета (в соответствии с обязанностями) аппарат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остоянно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1122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14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пресс-конференций, выступления в СМИ по вопросам депутатской деятельности и работы комитета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Члены комитета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совместно с отделом по взаимодействию со СМИ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остоянно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cantSplit/>
          <w:trHeight w:val="171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5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Систематизация и изучение нормативных правовых актов в соответствии с направлениями деятельности комитета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Члены комитета,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аппарат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остоянно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796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6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Приведение областного законодательства в соответствие с федеральным по направлениям деятельности комитета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Члены комитета,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аппарат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остоянно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  <w:tr>
        <w:tblPrEx/>
        <w:trPr>
          <w:trHeight w:val="1068"/>
        </w:trPr>
        <w:tc>
          <w:tcPr>
            <w:gridSpan w:val="3"/>
            <w:shd w:val="clear" w:color="ffffff" w:fill="ffffff" w:themeFill="background1"/>
            <w:tcW w:w="56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17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3"/>
            <w:shd w:val="clear" w:color="ffffff" w:fill="ffffff" w:themeFill="background1"/>
            <w:tcW w:w="429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Участие в рабочих группах, согласительных комиссиях при подготовке проектов законов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Новосибирской области и иных нормативных правовых актов</w:t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  <w:highlight w:val="none"/>
              </w:rPr>
            </w:r>
          </w:p>
        </w:tc>
        <w:tc>
          <w:tcPr>
            <w:gridSpan w:val="4"/>
            <w:shd w:val="clear" w:color="ffffff" w:fill="ffffff" w:themeFill="background1"/>
            <w:tcW w:w="379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Члены комитета 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в соответствии с решением комитета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  <w:tc>
          <w:tcPr>
            <w:gridSpan w:val="2"/>
            <w:shd w:val="clear" w:color="ffffff" w:fill="ffffff" w:themeFill="background1"/>
            <w:tcW w:w="170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п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о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поручению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 xml:space="preserve">сессий</w:t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  <w:r>
              <w:rPr>
                <w:rFonts w:ascii="Times New Roman" w:hAnsi="Times New Roman" w:cs="Times New Roman"/>
                <w:sz w:val="26"/>
                <w:szCs w:val="26"/>
              </w:rPr>
            </w:r>
          </w:p>
        </w:tc>
      </w:tr>
    </w:tbl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</w:t>
      </w:r>
      <w:r>
        <w:rPr>
          <w:rFonts w:ascii="Times New Roman" w:hAnsi="Times New Roman"/>
          <w:sz w:val="28"/>
          <w:szCs w:val="28"/>
        </w:rPr>
        <w:t xml:space="preserve"> № 2</w:t>
      </w:r>
      <w:r>
        <w:rPr>
          <w:rFonts w:ascii="Times New Roman" w:hAnsi="Times New Roman"/>
          <w:sz w:val="28"/>
          <w:szCs w:val="28"/>
        </w:rPr>
      </w:r>
    </w:p>
    <w:p>
      <w:pPr>
        <w:pStyle w:val="7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 протоколу № 5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2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заседания комитета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2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9 декабря 2025 года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6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Список участников заседания комитета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Законодательного Собрания Новосибирской области по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бюджетной, финансово-экономической политике и собственности </w:t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2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  <w:r>
        <w:rPr>
          <w:rFonts w:ascii="Times New Roman" w:hAnsi="Times New Roman"/>
          <w:b/>
          <w:bCs/>
          <w:sz w:val="28"/>
          <w:szCs w:val="28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Борисова Евгения Борисовна – заместитель начальника департамента по социально-экономическим вопросам аппарата Законодательного Собрания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Варда</w:t>
      </w:r>
      <w:r>
        <w:rPr>
          <w:rFonts w:ascii="Times New Roman" w:hAnsi="Times New Roman"/>
          <w:sz w:val="28"/>
          <w:szCs w:val="28"/>
        </w:rPr>
        <w:t xml:space="preserve"> Татьяна Александровн</w:t>
      </w:r>
      <w:r>
        <w:rPr>
          <w:rFonts w:ascii="Times New Roman" w:hAnsi="Times New Roman"/>
          <w:sz w:val="28"/>
          <w:szCs w:val="28"/>
        </w:rPr>
        <w:t xml:space="preserve">а – начальник департамента по правовым вопросам аппарата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Голубенко Виталий Юрьевич – заместитель Председателя Правительства Новосибирской области – министр финансов и налоговой политики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Гончарова Елена Анатольевна – председатель Контрольно-счетной палаты Новосибирской области</w:t>
      </w:r>
      <w: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Гришунин Дмитрий Игоревич</w:t>
      </w:r>
      <w:r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 xml:space="preserve">заместитель министра промышленности, торговли и развития предпринимательства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Жигулин Степан Анатольевич, начальник отдела нал</w:t>
      </w:r>
      <w:r>
        <w:rPr>
          <w:rFonts w:ascii="Times New Roman" w:hAnsi="Times New Roman"/>
          <w:b w:val="0"/>
          <w:bCs w:val="0"/>
          <w:sz w:val="28"/>
          <w:szCs w:val="28"/>
          <w:highlight w:val="none"/>
        </w:rPr>
        <w:t xml:space="preserve">огообложения юридических лиц</w:t>
      </w:r>
      <w:r>
        <w:rPr>
          <w:rFonts w:ascii="Times New Roman" w:hAnsi="Times New Roman"/>
          <w:sz w:val="28"/>
          <w:szCs w:val="28"/>
        </w:rPr>
        <w:t xml:space="preserve"> УФНС по Новосибирской области;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Знатков Владимир </w:t>
      </w:r>
      <w:r>
        <w:rPr>
          <w:rFonts w:ascii="Times New Roman" w:hAnsi="Times New Roman"/>
          <w:sz w:val="28"/>
          <w:szCs w:val="28"/>
          <w:highlight w:val="white"/>
        </w:rPr>
        <w:t xml:space="preserve">Михайлович – первый заместитель Председателя Правительства Новосибирской обл</w:t>
      </w:r>
      <w:r>
        <w:rPr>
          <w:rFonts w:ascii="Times New Roman" w:hAnsi="Times New Roman"/>
          <w:sz w:val="28"/>
          <w:szCs w:val="28"/>
        </w:rPr>
        <w:t xml:space="preserve">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Калентьева</w:t>
      </w:r>
      <w:r>
        <w:rPr>
          <w:rFonts w:ascii="Times New Roman" w:hAnsi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Наталья Владимировна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заместитель министра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 w:eastAsia="Times New Roman" w:cs="Times New Roman"/>
          <w:color w:val="000000" w:themeColor="text1"/>
          <w:sz w:val="28"/>
          <w:szCs w:val="28"/>
          <w:highlight w:val="white"/>
        </w:rPr>
        <w:t xml:space="preserve"> начальник управления законопроектных работ и ведения регистра министерства юстиции Новосибирской области</w:t>
      </w:r>
      <w:r>
        <w:rPr>
          <w:rFonts w:ascii="Times New Roman" w:hAnsi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Клемешов</w:t>
      </w:r>
      <w:r>
        <w:rPr>
          <w:rFonts w:ascii="Times New Roman" w:hAnsi="Times New Roman"/>
          <w:sz w:val="28"/>
          <w:szCs w:val="28"/>
          <w:highlight w:val="white"/>
        </w:rPr>
        <w:t xml:space="preserve"> Олег Петрович – заместитель Губернатора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Cавостьянов Юрий Иванович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и.о. </w:t>
      </w:r>
      <w:r>
        <w:rPr>
          <w:rFonts w:ascii="Times New Roman" w:hAnsi="Times New Roman"/>
          <w:sz w:val="28"/>
          <w:szCs w:val="28"/>
          <w:highlight w:val="white"/>
        </w:rPr>
        <w:t xml:space="preserve">министра образования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</w:rPr>
        <w:t xml:space="preserve">Скородумов Евгений Леонидович</w:t>
      </w:r>
      <w:r>
        <w:rPr>
          <w:rFonts w:ascii="Times New Roman" w:hAnsi="Times New Roman"/>
          <w:sz w:val="28"/>
          <w:szCs w:val="28"/>
          <w:highlight w:val="white"/>
        </w:rPr>
        <w:t xml:space="preserve"> – заместитель руководителя департамента имущества и земельных </w:t>
      </w:r>
      <w:r>
        <w:rPr>
          <w:rFonts w:ascii="Times New Roman" w:hAnsi="Times New Roman"/>
          <w:sz w:val="28"/>
          <w:szCs w:val="28"/>
          <w:highlight w:val="white"/>
        </w:rPr>
        <w:t xml:space="preserve">отношений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white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Толстых Вячеслав Леонидович – старший помощник прокурора Новосибирской области по взаимод</w:t>
      </w:r>
      <w:r>
        <w:rPr>
          <w:rFonts w:ascii="Times New Roman" w:hAnsi="Times New Roman"/>
          <w:sz w:val="28"/>
          <w:szCs w:val="28"/>
        </w:rPr>
        <w:t xml:space="preserve">ействию с законодательным и исполнительными органами, органами местного самоуправления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Тыртышный Антон Григорьевич, заместитель председателя комитета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Законодательного Собрания Новосибирской области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 по строительству, жилищно-коммунальному комплексу и тарифам;</w:t>
      </w:r>
      <w:r>
        <w:rPr>
          <w:rFonts w:ascii="Times New Roman" w:hAnsi="Times New Roman" w:cs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/>
      <w:r>
        <w:rPr>
          <w:rFonts w:ascii="Times New Roman" w:hAnsi="Times New Roman"/>
          <w:sz w:val="28"/>
          <w:szCs w:val="28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bCs/>
          <w:i/>
          <w:sz w:val="28"/>
          <w:szCs w:val="28"/>
          <w:highlight w:val="white"/>
        </w:rPr>
      </w:pPr>
      <w:r>
        <w:rPr>
          <w:rFonts w:ascii="Times New Roman" w:hAnsi="Times New Roman"/>
          <w:sz w:val="28"/>
          <w:szCs w:val="28"/>
          <w:highlight w:val="white"/>
        </w:rPr>
        <w:t xml:space="preserve">Цукарь</w:t>
      </w:r>
      <w:r>
        <w:rPr>
          <w:rFonts w:ascii="Times New Roman" w:hAnsi="Times New Roman"/>
          <w:sz w:val="28"/>
          <w:szCs w:val="28"/>
          <w:highlight w:val="white"/>
        </w:rPr>
        <w:t xml:space="preserve"> Сергей Сергеевич – министр цифрового развития и связи Новосибирской области;</w:t>
      </w:r>
      <w:r>
        <w:rPr>
          <w:rFonts w:ascii="Times New Roman" w:hAnsi="Times New Roman"/>
          <w:bCs/>
          <w:i/>
          <w:sz w:val="28"/>
          <w:szCs w:val="28"/>
          <w:highlight w:val="white"/>
        </w:rPr>
      </w:r>
      <w:r>
        <w:rPr>
          <w:rFonts w:ascii="Times New Roman" w:hAnsi="Times New Roman"/>
          <w:bCs/>
          <w:i/>
          <w:sz w:val="28"/>
          <w:szCs w:val="28"/>
          <w:highlight w:val="white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Шарпф</w:t>
      </w:r>
      <w:r>
        <w:rPr>
          <w:rFonts w:ascii="Times New Roman" w:hAnsi="Times New Roman"/>
          <w:sz w:val="28"/>
          <w:szCs w:val="28"/>
        </w:rPr>
        <w:t xml:space="preserve"> Светлана Леонидовна – министр экономического развития Новосибирской области</w:t>
      </w:r>
      <w:r>
        <w:rPr>
          <w:rFonts w:ascii="Times New Roman" w:hAnsi="Times New Roman"/>
          <w:sz w:val="28"/>
          <w:szCs w:val="28"/>
        </w:rPr>
        <w:t xml:space="preserve">;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Швец Инта Петровна – и.о. руководителя Контрольного управления Новосибирской области;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/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highlight w:val="whit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761"/>
        <w:numPr>
          <w:ilvl w:val="0"/>
          <w:numId w:val="14"/>
        </w:numPr>
        <w:ind w:left="0"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Шимкив</w:t>
      </w:r>
      <w:r>
        <w:rPr>
          <w:rFonts w:ascii="Times New Roman" w:hAnsi="Times New Roman"/>
          <w:sz w:val="28"/>
          <w:szCs w:val="28"/>
        </w:rPr>
        <w:t xml:space="preserve"> Андрей Иванович </w:t>
      </w:r>
      <w:r>
        <w:rPr>
          <w:rFonts w:ascii="Times New Roman" w:hAnsi="Times New Roman"/>
          <w:sz w:val="28"/>
          <w:szCs w:val="28"/>
          <w:highlight w:val="white"/>
        </w:rPr>
        <w:t xml:space="preserve">–</w:t>
      </w:r>
      <w:r>
        <w:rPr>
          <w:rFonts w:ascii="Times New Roman" w:hAnsi="Times New Roman"/>
          <w:sz w:val="28"/>
          <w:szCs w:val="28"/>
        </w:rPr>
        <w:t xml:space="preserve"> Председатель Законодательного Собрания Новосибирской области</w:t>
      </w:r>
      <w:r>
        <w:rPr>
          <w:rFonts w:ascii="Times New Roman" w:hAnsi="Times New Roman"/>
          <w:sz w:val="28"/>
          <w:szCs w:val="28"/>
        </w:rPr>
        <w:t xml:space="preserve">.</w:t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0" w:right="707" w:bottom="964" w:left="1134" w:header="709" w:footer="187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Courier New">
    <w:panose1 w:val="02070309020205020404"/>
  </w:font>
  <w:font w:name="TimesNewRomanPSMT">
    <w:panose1 w:val="02020603050405020304"/>
  </w:font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69"/>
      <w:jc w:val="center"/>
    </w:pPr>
    <w:r>
      <w:fldChar w:fldCharType="begin"/>
    </w:r>
    <w:r>
      <w:instrText xml:space="preserve">PAGE \* MERGEFORMAT</w:instrText>
    </w:r>
    <w:r>
      <w:fldChar w:fldCharType="separate"/>
    </w:r>
    <w:r>
      <w:t xml:space="preserve">7</w:t>
    </w:r>
    <w:r>
      <w:fldChar w:fldCharType="end"/>
    </w:r>
    <w:r/>
  </w:p>
  <w:p>
    <w:pPr>
      <w:pStyle w:val="769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1417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2137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857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3577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4297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5017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737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57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7177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  <w:b w:val="0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1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abstractNum w:abstractNumId="2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17" w:hanging="360"/>
      </w:pPr>
      <w:rPr>
        <w:i w:val="0"/>
        <w:highlight w:val="white"/>
      </w:r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7"/>
  </w:num>
  <w:num w:numId="2">
    <w:abstractNumId w:val="6"/>
  </w:num>
  <w:num w:numId="3">
    <w:abstractNumId w:val="11"/>
  </w:num>
  <w:num w:numId="4">
    <w:abstractNumId w:val="17"/>
  </w:num>
  <w:num w:numId="5">
    <w:abstractNumId w:val="3"/>
  </w:num>
  <w:num w:numId="6">
    <w:abstractNumId w:val="13"/>
  </w:num>
  <w:num w:numId="7">
    <w:abstractNumId w:val="18"/>
  </w:num>
  <w:num w:numId="8">
    <w:abstractNumId w:val="12"/>
  </w:num>
  <w:num w:numId="9">
    <w:abstractNumId w:val="5"/>
  </w:num>
  <w:num w:numId="10">
    <w:abstractNumId w:val="2"/>
  </w:num>
  <w:num w:numId="11">
    <w:abstractNumId w:val="10"/>
  </w:num>
  <w:num w:numId="12">
    <w:abstractNumId w:val="16"/>
  </w:num>
  <w:num w:numId="13">
    <w:abstractNumId w:val="15"/>
  </w:num>
  <w:num w:numId="14">
    <w:abstractNumId w:val="8"/>
  </w:num>
  <w:num w:numId="15">
    <w:abstractNumId w:val="4"/>
  </w:num>
  <w:num w:numId="16">
    <w:abstractNumId w:val="9"/>
  </w:num>
  <w:num w:numId="17">
    <w:abstractNumId w:val="14"/>
  </w:num>
  <w:num w:numId="18">
    <w:abstractNumId w:val="1"/>
  </w:num>
  <w:num w:numId="19">
    <w:abstractNumId w:val="20"/>
  </w:num>
  <w:num w:numId="20">
    <w:abstractNumId w:val="19"/>
  </w:num>
  <w:num w:numId="21">
    <w:abstractNumId w:val="0"/>
  </w:num>
  <w:num w:numId="22">
    <w:abstractNumId w:val="21"/>
  </w:num>
  <w:num w:numId="23">
    <w:abstractNumId w:val="22"/>
  </w:num>
  <w:num w:numId="2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Calibri"/>
        <w:sz w:val="22"/>
        <w:szCs w:val="22"/>
        <w:lang w:val="ru-RU" w:eastAsia="zh-CN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2" w:default="1">
    <w:name w:val="Normal"/>
  </w:style>
  <w:style w:type="paragraph" w:styleId="723">
    <w:name w:val="Heading 1"/>
    <w:basedOn w:val="722"/>
    <w:next w:val="722"/>
    <w:link w:val="752"/>
    <w:pPr>
      <w:jc w:val="center"/>
      <w:keepNext/>
      <w:spacing w:after="0" w:line="240" w:lineRule="auto"/>
      <w:outlineLvl w:val="0"/>
    </w:pPr>
    <w:rPr>
      <w:b/>
      <w:sz w:val="28"/>
      <w:szCs w:val="28"/>
    </w:rPr>
  </w:style>
  <w:style w:type="paragraph" w:styleId="724">
    <w:name w:val="Heading 2"/>
    <w:basedOn w:val="722"/>
    <w:next w:val="722"/>
    <w:link w:val="753"/>
    <w:pPr>
      <w:jc w:val="center"/>
      <w:keepNext/>
      <w:spacing w:after="0" w:line="240" w:lineRule="auto"/>
      <w:shd w:val="clear" w:color="auto" w:fill="ffffff"/>
      <w:outlineLvl w:val="1"/>
    </w:pPr>
    <w:rPr>
      <w:b/>
      <w:color w:val="000000"/>
      <w:sz w:val="26"/>
      <w:szCs w:val="26"/>
    </w:rPr>
  </w:style>
  <w:style w:type="paragraph" w:styleId="725">
    <w:name w:val="Heading 3"/>
    <w:basedOn w:val="722"/>
    <w:next w:val="722"/>
    <w:link w:val="754"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726">
    <w:name w:val="Heading 4"/>
    <w:basedOn w:val="722"/>
    <w:next w:val="722"/>
    <w:link w:val="755"/>
    <w:pPr>
      <w:keepLines/>
      <w:keepNext/>
      <w:spacing w:before="320"/>
      <w:outlineLvl w:val="3"/>
    </w:pPr>
    <w:rPr>
      <w:rFonts w:ascii="Arial" w:hAnsi="Arial" w:eastAsia="Arial" w:cs="Arial"/>
      <w:b/>
      <w:sz w:val="26"/>
      <w:szCs w:val="26"/>
    </w:rPr>
  </w:style>
  <w:style w:type="paragraph" w:styleId="727">
    <w:name w:val="Heading 5"/>
    <w:basedOn w:val="722"/>
    <w:next w:val="722"/>
    <w:link w:val="756"/>
    <w:pPr>
      <w:keepLines/>
      <w:keepNext/>
      <w:spacing w:before="320"/>
      <w:outlineLvl w:val="4"/>
    </w:pPr>
    <w:rPr>
      <w:rFonts w:ascii="Arial" w:hAnsi="Arial" w:eastAsia="Arial" w:cs="Arial"/>
      <w:b/>
      <w:sz w:val="24"/>
      <w:szCs w:val="24"/>
    </w:rPr>
  </w:style>
  <w:style w:type="paragraph" w:styleId="728">
    <w:name w:val="Heading 6"/>
    <w:basedOn w:val="722"/>
    <w:next w:val="722"/>
    <w:link w:val="757"/>
    <w:pPr>
      <w:keepLines/>
      <w:keepNext/>
      <w:spacing w:before="320"/>
      <w:outlineLvl w:val="5"/>
    </w:pPr>
    <w:rPr>
      <w:rFonts w:ascii="Arial" w:hAnsi="Arial" w:eastAsia="Arial" w:cs="Arial"/>
      <w:b/>
    </w:rPr>
  </w:style>
  <w:style w:type="paragraph" w:styleId="729">
    <w:name w:val="Heading 7"/>
    <w:basedOn w:val="722"/>
    <w:next w:val="722"/>
    <w:link w:val="758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30">
    <w:name w:val="Heading 8"/>
    <w:basedOn w:val="722"/>
    <w:next w:val="722"/>
    <w:link w:val="759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31">
    <w:name w:val="Heading 9"/>
    <w:basedOn w:val="722"/>
    <w:next w:val="722"/>
    <w:link w:val="760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2" w:default="1">
    <w:name w:val="Default Paragraph Font"/>
    <w:uiPriority w:val="1"/>
    <w:semiHidden/>
    <w:unhideWhenUsed/>
  </w:style>
  <w:style w:type="table" w:styleId="7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4" w:default="1">
    <w:name w:val="No List"/>
    <w:uiPriority w:val="99"/>
    <w:semiHidden/>
    <w:unhideWhenUsed/>
  </w:style>
  <w:style w:type="character" w:styleId="735" w:customStyle="1">
    <w:name w:val="Heading 1 Char"/>
    <w:basedOn w:val="732"/>
    <w:uiPriority w:val="9"/>
    <w:rPr>
      <w:rFonts w:ascii="Arial" w:hAnsi="Arial" w:eastAsia="Arial" w:cs="Arial"/>
      <w:sz w:val="40"/>
      <w:szCs w:val="40"/>
    </w:rPr>
  </w:style>
  <w:style w:type="character" w:styleId="736" w:customStyle="1">
    <w:name w:val="Heading 2 Char"/>
    <w:basedOn w:val="732"/>
    <w:uiPriority w:val="9"/>
    <w:rPr>
      <w:rFonts w:ascii="Arial" w:hAnsi="Arial" w:eastAsia="Arial" w:cs="Arial"/>
      <w:sz w:val="34"/>
    </w:rPr>
  </w:style>
  <w:style w:type="character" w:styleId="737" w:customStyle="1">
    <w:name w:val="Heading 3 Char"/>
    <w:basedOn w:val="732"/>
    <w:uiPriority w:val="9"/>
    <w:rPr>
      <w:rFonts w:ascii="Arial" w:hAnsi="Arial" w:eastAsia="Arial" w:cs="Arial"/>
      <w:sz w:val="30"/>
      <w:szCs w:val="30"/>
    </w:rPr>
  </w:style>
  <w:style w:type="character" w:styleId="738" w:customStyle="1">
    <w:name w:val="Heading 4 Char"/>
    <w:basedOn w:val="732"/>
    <w:uiPriority w:val="9"/>
    <w:rPr>
      <w:rFonts w:ascii="Arial" w:hAnsi="Arial" w:eastAsia="Arial" w:cs="Arial"/>
      <w:b/>
      <w:bCs/>
      <w:sz w:val="26"/>
      <w:szCs w:val="26"/>
    </w:rPr>
  </w:style>
  <w:style w:type="character" w:styleId="739" w:customStyle="1">
    <w:name w:val="Heading 5 Char"/>
    <w:basedOn w:val="732"/>
    <w:uiPriority w:val="9"/>
    <w:rPr>
      <w:rFonts w:ascii="Arial" w:hAnsi="Arial" w:eastAsia="Arial" w:cs="Arial"/>
      <w:b/>
      <w:bCs/>
      <w:sz w:val="24"/>
      <w:szCs w:val="24"/>
    </w:rPr>
  </w:style>
  <w:style w:type="character" w:styleId="740" w:customStyle="1">
    <w:name w:val="Heading 6 Char"/>
    <w:basedOn w:val="732"/>
    <w:uiPriority w:val="9"/>
    <w:rPr>
      <w:rFonts w:ascii="Arial" w:hAnsi="Arial" w:eastAsia="Arial" w:cs="Arial"/>
      <w:b/>
      <w:bCs/>
      <w:sz w:val="22"/>
      <w:szCs w:val="22"/>
    </w:rPr>
  </w:style>
  <w:style w:type="character" w:styleId="741" w:customStyle="1">
    <w:name w:val="Heading 7 Char"/>
    <w:basedOn w:val="732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2" w:customStyle="1">
    <w:name w:val="Heading 8 Char"/>
    <w:basedOn w:val="732"/>
    <w:uiPriority w:val="9"/>
    <w:rPr>
      <w:rFonts w:ascii="Arial" w:hAnsi="Arial" w:eastAsia="Arial" w:cs="Arial"/>
      <w:i/>
      <w:iCs/>
      <w:sz w:val="22"/>
      <w:szCs w:val="22"/>
    </w:rPr>
  </w:style>
  <w:style w:type="character" w:styleId="743" w:customStyle="1">
    <w:name w:val="Heading 9 Char"/>
    <w:basedOn w:val="732"/>
    <w:uiPriority w:val="9"/>
    <w:rPr>
      <w:rFonts w:ascii="Arial" w:hAnsi="Arial" w:eastAsia="Arial" w:cs="Arial"/>
      <w:i/>
      <w:iCs/>
      <w:sz w:val="21"/>
      <w:szCs w:val="21"/>
    </w:rPr>
  </w:style>
  <w:style w:type="character" w:styleId="744" w:customStyle="1">
    <w:name w:val="Title Char"/>
    <w:basedOn w:val="732"/>
    <w:uiPriority w:val="10"/>
    <w:rPr>
      <w:sz w:val="48"/>
      <w:szCs w:val="48"/>
    </w:rPr>
  </w:style>
  <w:style w:type="character" w:styleId="745" w:customStyle="1">
    <w:name w:val="Subtitle Char"/>
    <w:basedOn w:val="732"/>
    <w:uiPriority w:val="11"/>
    <w:rPr>
      <w:sz w:val="24"/>
      <w:szCs w:val="24"/>
    </w:rPr>
  </w:style>
  <w:style w:type="character" w:styleId="746" w:customStyle="1">
    <w:name w:val="Quote Char"/>
    <w:uiPriority w:val="29"/>
    <w:rPr>
      <w:i/>
    </w:rPr>
  </w:style>
  <w:style w:type="character" w:styleId="747" w:customStyle="1">
    <w:name w:val="Intense Quote Char"/>
    <w:uiPriority w:val="30"/>
    <w:rPr>
      <w:i/>
    </w:rPr>
  </w:style>
  <w:style w:type="character" w:styleId="748" w:customStyle="1">
    <w:name w:val="Header Char"/>
    <w:basedOn w:val="732"/>
    <w:uiPriority w:val="99"/>
  </w:style>
  <w:style w:type="character" w:styleId="749" w:customStyle="1">
    <w:name w:val="Caption Char"/>
    <w:uiPriority w:val="99"/>
  </w:style>
  <w:style w:type="character" w:styleId="750" w:customStyle="1">
    <w:name w:val="Footnote Text Char"/>
    <w:uiPriority w:val="99"/>
    <w:rPr>
      <w:sz w:val="18"/>
    </w:rPr>
  </w:style>
  <w:style w:type="character" w:styleId="751" w:customStyle="1">
    <w:name w:val="Endnote Text Char"/>
    <w:uiPriority w:val="99"/>
    <w:rPr>
      <w:sz w:val="20"/>
    </w:rPr>
  </w:style>
  <w:style w:type="character" w:styleId="752" w:customStyle="1">
    <w:name w:val="Заголовок 1 Знак"/>
    <w:link w:val="723"/>
    <w:uiPriority w:val="9"/>
    <w:rPr>
      <w:rFonts w:ascii="Arial" w:hAnsi="Arial" w:eastAsia="Arial" w:cs="Arial"/>
      <w:sz w:val="40"/>
      <w:szCs w:val="40"/>
    </w:rPr>
  </w:style>
  <w:style w:type="character" w:styleId="753" w:customStyle="1">
    <w:name w:val="Заголовок 2 Знак"/>
    <w:link w:val="724"/>
    <w:uiPriority w:val="9"/>
    <w:rPr>
      <w:rFonts w:ascii="Arial" w:hAnsi="Arial" w:eastAsia="Arial" w:cs="Arial"/>
      <w:sz w:val="34"/>
    </w:rPr>
  </w:style>
  <w:style w:type="character" w:styleId="754" w:customStyle="1">
    <w:name w:val="Заголовок 3 Знак"/>
    <w:link w:val="725"/>
    <w:uiPriority w:val="9"/>
    <w:rPr>
      <w:rFonts w:ascii="Arial" w:hAnsi="Arial" w:eastAsia="Arial" w:cs="Arial"/>
      <w:sz w:val="30"/>
      <w:szCs w:val="30"/>
    </w:rPr>
  </w:style>
  <w:style w:type="character" w:styleId="755" w:customStyle="1">
    <w:name w:val="Заголовок 4 Знак"/>
    <w:link w:val="726"/>
    <w:uiPriority w:val="9"/>
    <w:rPr>
      <w:rFonts w:ascii="Arial" w:hAnsi="Arial" w:eastAsia="Arial" w:cs="Arial"/>
      <w:b/>
      <w:bCs/>
      <w:sz w:val="26"/>
      <w:szCs w:val="26"/>
    </w:rPr>
  </w:style>
  <w:style w:type="character" w:styleId="756" w:customStyle="1">
    <w:name w:val="Заголовок 5 Знак"/>
    <w:link w:val="727"/>
    <w:uiPriority w:val="9"/>
    <w:rPr>
      <w:rFonts w:ascii="Arial" w:hAnsi="Arial" w:eastAsia="Arial" w:cs="Arial"/>
      <w:b/>
      <w:bCs/>
      <w:sz w:val="24"/>
      <w:szCs w:val="24"/>
    </w:rPr>
  </w:style>
  <w:style w:type="character" w:styleId="757" w:customStyle="1">
    <w:name w:val="Заголовок 6 Знак"/>
    <w:link w:val="728"/>
    <w:uiPriority w:val="9"/>
    <w:rPr>
      <w:rFonts w:ascii="Arial" w:hAnsi="Arial" w:eastAsia="Arial" w:cs="Arial"/>
      <w:b/>
      <w:bCs/>
      <w:sz w:val="22"/>
      <w:szCs w:val="22"/>
    </w:rPr>
  </w:style>
  <w:style w:type="character" w:styleId="758" w:customStyle="1">
    <w:name w:val="Заголовок 7 Знак"/>
    <w:link w:val="72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9" w:customStyle="1">
    <w:name w:val="Заголовок 8 Знак"/>
    <w:link w:val="730"/>
    <w:uiPriority w:val="9"/>
    <w:rPr>
      <w:rFonts w:ascii="Arial" w:hAnsi="Arial" w:eastAsia="Arial" w:cs="Arial"/>
      <w:i/>
      <w:iCs/>
      <w:sz w:val="22"/>
      <w:szCs w:val="22"/>
    </w:rPr>
  </w:style>
  <w:style w:type="character" w:styleId="760" w:customStyle="1">
    <w:name w:val="Заголовок 9 Знак"/>
    <w:link w:val="731"/>
    <w:uiPriority w:val="9"/>
    <w:rPr>
      <w:rFonts w:ascii="Arial" w:hAnsi="Arial" w:eastAsia="Arial" w:cs="Arial"/>
      <w:i/>
      <w:iCs/>
      <w:sz w:val="21"/>
      <w:szCs w:val="21"/>
    </w:rPr>
  </w:style>
  <w:style w:type="paragraph" w:styleId="761">
    <w:name w:val="List Paragraph"/>
    <w:basedOn w:val="722"/>
    <w:uiPriority w:val="34"/>
    <w:qFormat/>
    <w:pPr>
      <w:contextualSpacing/>
      <w:ind w:left="720"/>
    </w:pPr>
  </w:style>
  <w:style w:type="paragraph" w:styleId="762">
    <w:name w:val="No Spacing"/>
    <w:uiPriority w:val="1"/>
    <w:qFormat/>
    <w:pPr>
      <w:spacing w:after="0" w:line="240" w:lineRule="auto"/>
    </w:pPr>
  </w:style>
  <w:style w:type="character" w:styleId="763" w:customStyle="1">
    <w:name w:val="Заголовок Знак"/>
    <w:link w:val="920"/>
    <w:uiPriority w:val="10"/>
    <w:rPr>
      <w:sz w:val="48"/>
      <w:szCs w:val="48"/>
    </w:rPr>
  </w:style>
  <w:style w:type="character" w:styleId="764" w:customStyle="1">
    <w:name w:val="Подзаголовок Знак"/>
    <w:link w:val="921"/>
    <w:uiPriority w:val="11"/>
    <w:rPr>
      <w:sz w:val="24"/>
      <w:szCs w:val="24"/>
    </w:rPr>
  </w:style>
  <w:style w:type="paragraph" w:styleId="765">
    <w:name w:val="Quote"/>
    <w:basedOn w:val="722"/>
    <w:next w:val="722"/>
    <w:link w:val="766"/>
    <w:uiPriority w:val="29"/>
    <w:qFormat/>
    <w:pPr>
      <w:ind w:left="720" w:right="720"/>
    </w:pPr>
    <w:rPr>
      <w:i/>
    </w:rPr>
  </w:style>
  <w:style w:type="character" w:styleId="766" w:customStyle="1">
    <w:name w:val="Цитата 2 Знак"/>
    <w:link w:val="765"/>
    <w:uiPriority w:val="29"/>
    <w:rPr>
      <w:i/>
    </w:rPr>
  </w:style>
  <w:style w:type="paragraph" w:styleId="767">
    <w:name w:val="Intense Quote"/>
    <w:basedOn w:val="722"/>
    <w:next w:val="722"/>
    <w:link w:val="768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8" w:customStyle="1">
    <w:name w:val="Выделенная цитата Знак"/>
    <w:link w:val="767"/>
    <w:uiPriority w:val="30"/>
    <w:rPr>
      <w:i/>
    </w:rPr>
  </w:style>
  <w:style w:type="paragraph" w:styleId="769">
    <w:name w:val="Header"/>
    <w:basedOn w:val="722"/>
    <w:link w:val="770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0" w:customStyle="1">
    <w:name w:val="Верхний колонтитул Знак"/>
    <w:link w:val="769"/>
    <w:uiPriority w:val="99"/>
  </w:style>
  <w:style w:type="paragraph" w:styleId="771">
    <w:name w:val="Footer"/>
    <w:basedOn w:val="722"/>
    <w:link w:val="77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72" w:customStyle="1">
    <w:name w:val="Footer Char"/>
    <w:uiPriority w:val="99"/>
  </w:style>
  <w:style w:type="paragraph" w:styleId="773">
    <w:name w:val="Caption"/>
    <w:basedOn w:val="722"/>
    <w:next w:val="722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74" w:customStyle="1">
    <w:name w:val="Нижний колонтитул Знак"/>
    <w:link w:val="771"/>
    <w:uiPriority w:val="99"/>
  </w:style>
  <w:style w:type="table" w:styleId="775">
    <w:name w:val="Table Grid"/>
    <w:basedOn w:val="733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6" w:customStyle="1">
    <w:name w:val="Table Grid Light"/>
    <w:basedOn w:val="73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7">
    <w:name w:val="Plain Table 1"/>
    <w:basedOn w:val="73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8">
    <w:name w:val="Plain Table 2"/>
    <w:basedOn w:val="73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9">
    <w:name w:val="Plain Table 3"/>
    <w:basedOn w:val="7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80">
    <w:name w:val="Plain Table 4"/>
    <w:basedOn w:val="7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Plain Table 5"/>
    <w:basedOn w:val="7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82">
    <w:name w:val="Grid Table 1 Light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1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Grid Table 1 Light - Accent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Grid Table 1 Light - Accent 5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Grid Table 1 Light - Accent 6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Grid Table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1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 w:customStyle="1">
    <w:name w:val="Grid Table 2 - Accent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2 - Accent 5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2 - Accent 6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Grid Table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1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3 - Accent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3 - Accent 5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 w:customStyle="1">
    <w:name w:val="Grid Table 3 - Accent 6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4"/>
    <w:basedOn w:val="7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4" w:customStyle="1">
    <w:name w:val="Grid Table 4 - Accent 1"/>
    <w:basedOn w:val="7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805" w:customStyle="1">
    <w:name w:val="Grid Table 4 - Accent 2"/>
    <w:basedOn w:val="7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806" w:customStyle="1">
    <w:name w:val="Grid Table 4 - Accent 3"/>
    <w:basedOn w:val="7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807" w:customStyle="1">
    <w:name w:val="Grid Table 4 - Accent 4"/>
    <w:basedOn w:val="7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808" w:customStyle="1">
    <w:name w:val="Grid Table 4 - Accent 5"/>
    <w:basedOn w:val="7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809" w:customStyle="1">
    <w:name w:val="Grid Table 4 - Accent 6"/>
    <w:basedOn w:val="7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810">
    <w:name w:val="Grid Table 5 Dark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- Accent 1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814" w:customStyle="1">
    <w:name w:val="Grid Table 5 Dark- Accent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815" w:customStyle="1">
    <w:name w:val="Grid Table 5 Dark - Accent 5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816" w:customStyle="1">
    <w:name w:val="Grid Table 5 Dark - Accent 6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817">
    <w:name w:val="Grid Table 6 Colorful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8" w:customStyle="1">
    <w:name w:val="Grid Table 6 Colorful - Accent 1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819" w:customStyle="1">
    <w:name w:val="Grid Table 6 Colorful - Accent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820" w:customStyle="1">
    <w:name w:val="Grid Table 6 Colorful - Accent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821" w:customStyle="1">
    <w:name w:val="Grid Table 6 Colorful - Accent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822" w:customStyle="1">
    <w:name w:val="Grid Table 6 Colorful - Accent 5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3" w:customStyle="1">
    <w:name w:val="Grid Table 6 Colorful - Accent 6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824">
    <w:name w:val="Grid Table 7 Colorful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1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Grid Table 7 Colorful - Accent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Grid Table 7 Colorful - Accent 5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Grid Table 7 Colorful - Accent 6"/>
    <w:basedOn w:val="7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>
    <w:name w:val="List Table 1 Light"/>
    <w:basedOn w:val="7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1"/>
    <w:basedOn w:val="7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2"/>
    <w:basedOn w:val="7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3"/>
    <w:basedOn w:val="7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 w:customStyle="1">
    <w:name w:val="List Table 1 Light - Accent 4"/>
    <w:basedOn w:val="7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6" w:customStyle="1">
    <w:name w:val="List Table 1 Light - Accent 5"/>
    <w:basedOn w:val="7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7" w:customStyle="1">
    <w:name w:val="List Table 1 Light - Accent 6"/>
    <w:basedOn w:val="7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8">
    <w:name w:val="List Table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1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42" w:customStyle="1">
    <w:name w:val="List Table 2 - Accent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43" w:customStyle="1">
    <w:name w:val="List Table 2 - Accent 5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44" w:customStyle="1">
    <w:name w:val="List Table 2 - Accent 6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45">
    <w:name w:val="List Table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1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3 - Accent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3 - Accent 5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3 - Accent 6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>
    <w:name w:val="List Table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1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 w:customStyle="1">
    <w:name w:val="List Table 4 - Accent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7" w:customStyle="1">
    <w:name w:val="List Table 4 - Accent 5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8" w:customStyle="1">
    <w:name w:val="List Table 4 - Accent 6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9">
    <w:name w:val="List Table 5 Dark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1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 w:customStyle="1">
    <w:name w:val="List Table 5 Dark - Accent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4" w:customStyle="1">
    <w:name w:val="List Table 5 Dark - Accent 5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5" w:customStyle="1">
    <w:name w:val="List Table 5 Dark - Accent 6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6">
    <w:name w:val="List Table 6 Colorful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7" w:customStyle="1">
    <w:name w:val="List Table 6 Colorful - Accent 1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68" w:customStyle="1">
    <w:name w:val="List Table 6 Colorful - Accent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69" w:customStyle="1">
    <w:name w:val="List Table 6 Colorful - Accent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70" w:customStyle="1">
    <w:name w:val="List Table 6 Colorful - Accent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71" w:customStyle="1">
    <w:name w:val="List Table 6 Colorful - Accent 5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72" w:customStyle="1">
    <w:name w:val="List Table 6 Colorful - Accent 6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73">
    <w:name w:val="List Table 7 Colorful"/>
    <w:basedOn w:val="7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1"/>
    <w:basedOn w:val="7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7 Colorful - Accent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st Table 7 Colorful - Accent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List Table 7 Colorful - Accent 5"/>
    <w:basedOn w:val="7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List Table 7 Colorful - Accent 6"/>
    <w:basedOn w:val="7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Lined - Accent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1" w:customStyle="1">
    <w:name w:val="Lined - Accent 1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2" w:customStyle="1">
    <w:name w:val="Lined - Accent 2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83" w:customStyle="1">
    <w:name w:val="Lined - Accent 3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84" w:customStyle="1">
    <w:name w:val="Lined - Accent 4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85" w:customStyle="1">
    <w:name w:val="Lined - Accent 5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86" w:customStyle="1">
    <w:name w:val="Lined - Accent 6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87" w:customStyle="1">
    <w:name w:val="Bordered &amp; Lined - Accent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8" w:customStyle="1">
    <w:name w:val="Bordered &amp; Lined - Accent 1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89" w:customStyle="1">
    <w:name w:val="Bordered &amp; Lined - Accent 2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90" w:customStyle="1">
    <w:name w:val="Bordered &amp; Lined - Accent 3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91" w:customStyle="1">
    <w:name w:val="Bordered &amp; Lined - Accent 4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92" w:customStyle="1">
    <w:name w:val="Bordered &amp; Lined - Accent 5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93" w:customStyle="1">
    <w:name w:val="Bordered &amp; Lined - Accent 6"/>
    <w:basedOn w:val="7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94" w:customStyle="1">
    <w:name w:val="Bordered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5" w:customStyle="1">
    <w:name w:val="Bordered - Accent 1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96" w:customStyle="1">
    <w:name w:val="Bordered - Accent 2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97" w:customStyle="1">
    <w:name w:val="Bordered - Accent 3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98" w:customStyle="1">
    <w:name w:val="Bordered - Accent 4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99" w:customStyle="1">
    <w:name w:val="Bordered - Accent 5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900" w:customStyle="1">
    <w:name w:val="Bordered - Accent 6"/>
    <w:basedOn w:val="7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character" w:styleId="901">
    <w:name w:val="Hyperlink"/>
    <w:uiPriority w:val="99"/>
    <w:unhideWhenUsed/>
    <w:rPr>
      <w:color w:val="0000ff" w:themeColor="hyperlink"/>
      <w:u w:val="single"/>
    </w:rPr>
  </w:style>
  <w:style w:type="paragraph" w:styleId="902">
    <w:name w:val="footnote text"/>
    <w:basedOn w:val="722"/>
    <w:link w:val="903"/>
    <w:uiPriority w:val="99"/>
    <w:semiHidden/>
    <w:unhideWhenUsed/>
    <w:pPr>
      <w:spacing w:after="40" w:line="240" w:lineRule="auto"/>
    </w:pPr>
    <w:rPr>
      <w:sz w:val="18"/>
    </w:rPr>
  </w:style>
  <w:style w:type="character" w:styleId="903" w:customStyle="1">
    <w:name w:val="Текст сноски Знак"/>
    <w:link w:val="902"/>
    <w:uiPriority w:val="99"/>
    <w:rPr>
      <w:sz w:val="18"/>
    </w:rPr>
  </w:style>
  <w:style w:type="character" w:styleId="904">
    <w:name w:val="footnote reference"/>
    <w:uiPriority w:val="99"/>
    <w:unhideWhenUsed/>
    <w:rPr>
      <w:vertAlign w:val="superscript"/>
    </w:rPr>
  </w:style>
  <w:style w:type="paragraph" w:styleId="905">
    <w:name w:val="endnote text"/>
    <w:basedOn w:val="722"/>
    <w:link w:val="906"/>
    <w:uiPriority w:val="99"/>
    <w:semiHidden/>
    <w:unhideWhenUsed/>
    <w:pPr>
      <w:spacing w:after="0" w:line="240" w:lineRule="auto"/>
    </w:pPr>
    <w:rPr>
      <w:sz w:val="20"/>
    </w:rPr>
  </w:style>
  <w:style w:type="character" w:styleId="906" w:customStyle="1">
    <w:name w:val="Текст концевой сноски Знак"/>
    <w:link w:val="905"/>
    <w:uiPriority w:val="99"/>
    <w:rPr>
      <w:sz w:val="20"/>
    </w:rPr>
  </w:style>
  <w:style w:type="character" w:styleId="907">
    <w:name w:val="endnote reference"/>
    <w:uiPriority w:val="99"/>
    <w:semiHidden/>
    <w:unhideWhenUsed/>
    <w:rPr>
      <w:vertAlign w:val="superscript"/>
    </w:rPr>
  </w:style>
  <w:style w:type="paragraph" w:styleId="908">
    <w:name w:val="toc 1"/>
    <w:basedOn w:val="722"/>
    <w:next w:val="722"/>
    <w:uiPriority w:val="39"/>
    <w:unhideWhenUsed/>
    <w:pPr>
      <w:spacing w:after="57"/>
    </w:pPr>
  </w:style>
  <w:style w:type="paragraph" w:styleId="909">
    <w:name w:val="toc 2"/>
    <w:basedOn w:val="722"/>
    <w:next w:val="722"/>
    <w:uiPriority w:val="39"/>
    <w:unhideWhenUsed/>
    <w:pPr>
      <w:ind w:left="283"/>
      <w:spacing w:after="57"/>
    </w:pPr>
  </w:style>
  <w:style w:type="paragraph" w:styleId="910">
    <w:name w:val="toc 3"/>
    <w:basedOn w:val="722"/>
    <w:next w:val="722"/>
    <w:uiPriority w:val="39"/>
    <w:unhideWhenUsed/>
    <w:pPr>
      <w:ind w:left="567"/>
      <w:spacing w:after="57"/>
    </w:pPr>
  </w:style>
  <w:style w:type="paragraph" w:styleId="911">
    <w:name w:val="toc 4"/>
    <w:basedOn w:val="722"/>
    <w:next w:val="722"/>
    <w:uiPriority w:val="39"/>
    <w:unhideWhenUsed/>
    <w:pPr>
      <w:ind w:left="850"/>
      <w:spacing w:after="57"/>
    </w:pPr>
  </w:style>
  <w:style w:type="paragraph" w:styleId="912">
    <w:name w:val="toc 5"/>
    <w:basedOn w:val="722"/>
    <w:next w:val="722"/>
    <w:uiPriority w:val="39"/>
    <w:unhideWhenUsed/>
    <w:pPr>
      <w:ind w:left="1134"/>
      <w:spacing w:after="57"/>
    </w:pPr>
  </w:style>
  <w:style w:type="paragraph" w:styleId="913">
    <w:name w:val="toc 6"/>
    <w:basedOn w:val="722"/>
    <w:next w:val="722"/>
    <w:uiPriority w:val="39"/>
    <w:unhideWhenUsed/>
    <w:pPr>
      <w:ind w:left="1417"/>
      <w:spacing w:after="57"/>
    </w:pPr>
  </w:style>
  <w:style w:type="paragraph" w:styleId="914">
    <w:name w:val="toc 7"/>
    <w:basedOn w:val="722"/>
    <w:next w:val="722"/>
    <w:uiPriority w:val="39"/>
    <w:unhideWhenUsed/>
    <w:pPr>
      <w:ind w:left="1701"/>
      <w:spacing w:after="57"/>
    </w:pPr>
  </w:style>
  <w:style w:type="paragraph" w:styleId="915">
    <w:name w:val="toc 8"/>
    <w:basedOn w:val="722"/>
    <w:next w:val="722"/>
    <w:uiPriority w:val="39"/>
    <w:unhideWhenUsed/>
    <w:pPr>
      <w:ind w:left="1984"/>
      <w:spacing w:after="57"/>
    </w:pPr>
  </w:style>
  <w:style w:type="paragraph" w:styleId="916">
    <w:name w:val="toc 9"/>
    <w:basedOn w:val="722"/>
    <w:next w:val="722"/>
    <w:uiPriority w:val="39"/>
    <w:unhideWhenUsed/>
    <w:pPr>
      <w:ind w:left="2268"/>
      <w:spacing w:after="57"/>
    </w:pPr>
  </w:style>
  <w:style w:type="paragraph" w:styleId="917">
    <w:name w:val="TOC Heading"/>
    <w:uiPriority w:val="39"/>
    <w:unhideWhenUsed/>
  </w:style>
  <w:style w:type="paragraph" w:styleId="918">
    <w:name w:val="table of figures"/>
    <w:basedOn w:val="722"/>
    <w:next w:val="722"/>
    <w:uiPriority w:val="99"/>
    <w:unhideWhenUsed/>
    <w:pPr>
      <w:spacing w:after="0"/>
    </w:pPr>
  </w:style>
  <w:style w:type="table" w:styleId="919" w:customStyle="1">
    <w:name w:val="Table Normal"/>
    <w:tblPr>
      <w:tblCellMar>
        <w:left w:w="0" w:type="dxa"/>
        <w:top w:w="0" w:type="dxa"/>
        <w:right w:w="0" w:type="dxa"/>
        <w:bottom w:w="0" w:type="dxa"/>
      </w:tblCellMar>
    </w:tblPr>
  </w:style>
  <w:style w:type="paragraph" w:styleId="920">
    <w:name w:val="Title"/>
    <w:basedOn w:val="722"/>
    <w:next w:val="722"/>
    <w:link w:val="763"/>
    <w:pPr>
      <w:spacing w:before="300"/>
    </w:pPr>
    <w:rPr>
      <w:sz w:val="48"/>
      <w:szCs w:val="48"/>
    </w:rPr>
  </w:style>
  <w:style w:type="paragraph" w:styleId="921">
    <w:name w:val="Subtitle"/>
    <w:basedOn w:val="722"/>
    <w:next w:val="722"/>
    <w:link w:val="764"/>
    <w:pPr>
      <w:spacing w:before="200"/>
    </w:pPr>
    <w:rPr>
      <w:sz w:val="24"/>
      <w:szCs w:val="24"/>
    </w:rPr>
  </w:style>
  <w:style w:type="table" w:styleId="922" w:customStyle="1">
    <w:name w:val="StGen0"/>
    <w:basedOn w:val="91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23" w:customStyle="1">
    <w:name w:val="StGen1"/>
    <w:basedOn w:val="919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styleId="924" w:customStyle="1">
    <w:name w:val="StGen2"/>
    <w:basedOn w:val="919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925" w:customStyle="1">
    <w:name w:val="Основной текст (8)"/>
    <w:pPr>
      <w:jc w:val="center"/>
      <w:spacing w:after="300" w:line="326" w:lineRule="exact"/>
      <w:shd w:val="clear" w:color="auto" w:fill="ffffff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eastAsia="Times New Roman" w:cs="Times New Roman"/>
      <w:spacing w:val="3"/>
      <w:sz w:val="25"/>
      <w:szCs w:val="25"/>
      <w:lang w:eastAsia="ru-RU"/>
    </w:rPr>
  </w:style>
  <w:style w:type="character" w:styleId="926" w:customStyle="1">
    <w:name w:val="Основной текст (15)_"/>
    <w:rPr>
      <w:spacing w:val="3"/>
      <w:shd w:val="clear" w:color="auto" w:fill="ffffff"/>
    </w:rPr>
  </w:style>
  <w:style w:type="character" w:styleId="927" w:customStyle="1">
    <w:name w:val="fontstyle01"/>
    <w:rPr>
      <w:rFonts w:ascii="TimesNewRomanPSMT" w:hAnsi="TimesNewRomanPSMT"/>
      <w:b w:val="0"/>
      <w:bCs w:val="0"/>
      <w:i w:val="0"/>
      <w:iCs w:val="0"/>
      <w:color w:val="000000"/>
      <w:sz w:val="28"/>
      <w:szCs w:val="28"/>
    </w:rPr>
  </w:style>
  <w:style w:type="paragraph" w:styleId="928" w:customStyle="1">
    <w:name w:val="ConsPlusNonformat"/>
    <w:uiPriority w:val="99"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character" w:styleId="929">
    <w:name w:val="Strong"/>
    <w:uiPriority w:val="22"/>
    <w:qFormat/>
    <w:rPr>
      <w:b/>
      <w:bCs/>
    </w:rPr>
  </w:style>
  <w:style w:type="character" w:styleId="930" w:customStyle="1">
    <w:name w:val="Основной текст (18)_"/>
    <w:link w:val="931"/>
    <w:rPr>
      <w:spacing w:val="7"/>
      <w:shd w:val="clear" w:color="auto" w:fill="ffffff"/>
    </w:rPr>
  </w:style>
  <w:style w:type="paragraph" w:styleId="931" w:customStyle="1">
    <w:name w:val="Основной текст (18)"/>
    <w:basedOn w:val="722"/>
    <w:link w:val="930"/>
    <w:pPr>
      <w:spacing w:before="60" w:after="240" w:line="326" w:lineRule="exact"/>
      <w:shd w:val="clear" w:color="auto" w:fill="ffffff"/>
      <w:widowControl w:val="off"/>
    </w:pPr>
    <w:rPr>
      <w:spacing w:val="7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image" Target="media/image1.png"/><Relationship Id="rId11" Type="http://schemas.openxmlformats.org/officeDocument/2006/relationships/hyperlink" Target="mailto:k_budg@zsnso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Орленко Наталья Николаевна</dc:creator>
  <cp:revision>10</cp:revision>
  <dcterms:created xsi:type="dcterms:W3CDTF">2025-11-21T05:14:00Z</dcterms:created>
  <dcterms:modified xsi:type="dcterms:W3CDTF">2025-12-17T08:42:18Z</dcterms:modified>
</cp:coreProperties>
</file>