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23 апреля 2024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перерыве сессии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pStyle w:val="828"/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Вопрос: 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проекте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годов», второе чтение.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7"/>
          <w:szCs w:val="27"/>
          <w:highlight w:val="none"/>
        </w:rPr>
      </w:r>
    </w:p>
    <w:p>
      <w:pPr>
        <w:pStyle w:val="828"/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Николаев Федор Анатолье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вич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председател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комитета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  <w:t xml:space="preserve">Рассмотрение поправок: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pStyle w:val="863"/>
        <w:numPr>
          <w:ilvl w:val="0"/>
          <w:numId w:val="6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Поправки Губернатора Новосибирской области: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u w:val="none"/>
        </w:rPr>
        <w:t xml:space="preserve">1.1.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Поправки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№№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1, 3, 4,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13-17, 19,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24, 25, 28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-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31, 34-44, 46-4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9,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52,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53,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62, 64-72,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74-77,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79-81,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104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-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107,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112-115,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117, 119, 121, 137-138, направлены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на увеличение/уменьшение бюджетных ассигнований по ГРБС: 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82"/>
        </w:num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год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уменьшение в сумме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229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738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тыс. руб.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82"/>
        </w:num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год увеличение в сумме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1 4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08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840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.;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82"/>
        </w:numPr>
        <w:jc w:val="both"/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год увеличение в сумме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211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204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9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т.ч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: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на 96 595,8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увеличены на 17 578,7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асселение аварийного многоквартирного дома в г. Татарске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Татарского района Новосибирской области в 2024 году увеличены на 12 031,3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уменьшены в сумме 12 031,3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49, 53)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Здвинский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 Новосибирской области с.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Сарыбалык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 водозаборная скважина, предаварийная ситуация,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средства в 2024 году на 46 437,3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48, 52)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 строительство объекта «Реконструкция участка левого магистрального водопровода, Д-500мм в районе 60 км ПК4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объекта недвижимости «Водовод от камеры переключения №1 до камеры переключения №2» в г.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Искитиме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средства в 2024 году на 48 862,9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48, 52)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г. Обь Новосибирской области на завершение строительства объекта «Строительство водопровода на ул. Сигнальная» в связи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откорректированной сметной стоимост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ью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увеличены средства в 2024 году на 6 686,7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48, 52)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ерераспределение субсидии на мероприятие по строительству централизованных систем водоотведения с 2024 на 2025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год 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Здвинскому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 в сумме 29 610,0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52, </w:t>
      </w:r>
      <w:bookmarkStart w:id="0" w:name="_GoBack"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bookmarkEnd w:id="0"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104)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дополнительное финансирование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Куйбышевского района Новосибирской области на реализацию мероприятий по организации функционирования систем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жизнеобеспечения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в сумме 12 197,6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117, 119)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Контрольно-счетной палате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средства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2024 году на 1 360,7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величение штатной численности на 2 ед. экспертов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) (поправка № 1).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увеличена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убсидия на сбалансированность муниципальным образованиям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сумме 300 000,0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(поправки №№ 28, 29).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управлению ветеринарии Новосибирской области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2024 год увеличены бюджетные ассигнования в сумме 17 500,0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роведение мероприятий по осуществлению деятельности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с безнадзорными животными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24, 25).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региональной политики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в сумме 4 656,5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содержание органа власти: для обеспечения оплаты сотрудникам за работу в выходные дни в сумме 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076,5 тыс.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рублей, а также на обеспечение деятельности Общественной палаты Новосибирской области для размещения по новому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адресу (Красный проспект, 28) в сумме 580,0 тыс. рублей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3, 4)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труда и социального развития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увеличены средства в 2024 году в сумме 67 191,0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в сумме 80 629,1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в сумме 80 629,1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863"/>
        <w:numPr>
          <w:ilvl w:val="0"/>
          <w:numId w:val="64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пециальные социальные выплаты медикам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2024 году увеличены на 67 191,0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на 80 629,1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на 80 629,1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106)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4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ерераспределение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2024 год в сумме 107 504,4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предоставление жилых помещений детям - сиротам с министерства (приобретение готового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жилья) на министерство строительства Новосибирской области (строительство),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Куйбышевскому району Новосибирской области в сумме 63 346,5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т.р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по строительству 2-х 9-квартирных домов, в т. ч. жилье для детей-сирот (контракты 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строительство заключены в 2023 году).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107, 121)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Купинскому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району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44 157,9 т. р. на завершение строительства 2-х 6 квартирных домов,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т.ч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для детей-сирот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(строительство было начато в 2022 году, имеется ПСД с пройденной экспертизой)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74, 75)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на 55 098,1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 на 55 098,1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106 237,7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5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беспечение проезда детей из многодетных семей на общественном транспорте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55 098,1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увеличены на 55 098,1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увеличены на 55 098,1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№112)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5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ведение дополнительной единицы подвижного состава малого класса для обеспечения пассажирских перевозок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межмуниципальному маршруту №153 «М.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Заельцовская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- п. Садовый» и установлению межмуниципального маршрута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регулярных перевозок по регулируемым тарифам №108 «Цветной проезд-аэропорт Толмачёво»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2024 году увеличены бюджетные ассигнования на 14 442,5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 соответствующим уменьшением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2024 году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ГКУ НСО «Управление организации пассажирских перевозок» в связи с экономией по фонду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оплаты труда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46, 47);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5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дорожный фонд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2026 году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51 139,6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34)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азмещение стационарных камер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фотовидеофиксации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нарушений правил дорожного движения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 в 2024 году бюджетные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сумму 554,0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№ 35) с соответствующим уменьшением в 2024 году средств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беспечение функционирования, расширения и модернизация компонентов обеспечения транспортной безопасности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(поправка № 36)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асходы на почтовые услуги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в сумме 30 000,0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37)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инансовое обеспечение дорожной деятельности в связи с частичным отсутствием потребности в соответствии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разработанной ПСД и коротким дорожным сезоном, связанным с погодными условиями по объекту «Реконструкция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автомобильной дороги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Инская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Барышево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- 39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а/д «К-19р» (в гр. района)» в Новосибирском районе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уменьшены на 42 701,6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38);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троительство и реконструкция объектов государственной собственности: в 2024 году уменьшены бюджетные ассигнования в сумме 122 568,0 тыс.руб. по результатам электронного аукциона на выполнение проектно-изыскательских работ по объекту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строительство автомобильной дороги Южный транзит от автомобильной дороги Р-254 «Иртыш» до автомобильной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дороги Р-256 «Чуйский тракт» через реку Обь в г. Новосибирске и увеличены в 2025 году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67 101,0 тыс.руб. для оплаты контрактов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39);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троительство объекта капитального строительства «Мостовой переход через р. Обь в створе ул.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Ипподромской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Новосибирска» в 2024 году ассигнования увеличены на 16 575,7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40);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беспечение устойчивого функционирования автомобильных дорог местного значения (ведется работа по уточнению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предложений с учетом результатов государственной экспертизы)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95 800,0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уменьшены на 25 023,2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41, 44)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меньшены бюджетные ассигнования на финансовое обеспечение деятельности ГКУ НСО «МОСТ» в связи с экономией при осуществлении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закупки на оказание комплексных консультационных услуг по сопровождению концессионного соглашения в отношении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строительства и эксплуатации на платной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основе мостового перехода через р. Обь в створе ул.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Ипподромской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г.Новосибирск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 на сумму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7 000,0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42);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емонт автомобильных дорог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на 29 893,9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 уменьшены на 67 101,0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увеличены на 76 162,8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культуры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в сумме 30 000,0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роведение Дней культуры Новосибирской области в Республике Беларусь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30, 31).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строительства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бюджетные ассигнования увеличены на 281 982,3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67"/>
        </w:numPr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троительство жилья для детей сирот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Татарском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районе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6 486,4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74, 75);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67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пециализированный жилищный фонд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7 338,8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76, 77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т.ч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величены ассигнования бюджетам Куйбышевского района Новосибирской области на 15 097,0 тыс. руб.; Ордынского района Новосибирской области на 1 147,5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Сузунского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района Новосибирской области на 10 082,4 тыс. руб.;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Черепановского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района Новосибирской области на 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572,6 тыс. руб.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меньшены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Коченевскому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району Новосибирской области на    5 152,2 тыс. руб.,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Усть-Таркскому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району Новосибирской области на 5 470,8 тыс. руб.;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Татарскому району Новосибирской области на 16 037,7 тыс.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руб.;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дома культуры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р.п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Дорогино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Черепановского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 увеличены ассигнования на 5 158,5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64);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одозаборная скважина на территории ГБУЗ НСО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Чулымская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ЦРБ»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увеличены ассигнования на 4 319,1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65);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общежития для студентов ГАПОУ НСО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Купинский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медицинский техникум»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ассигнования на 6 251,5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еконструкция полик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линики ГБУЗ НСО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Сузунская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ЦРБ» увеличены ассигнования на 5 479,6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66);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ФАПа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с. Плоское ГБУЗ НСО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Сузунская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ЦРБ»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увеличены ассигнования на 2 099,7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67)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рытый конноспортивный манеж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Бажинский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сельсовет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Маслянинского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3 18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68);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детского сада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с.Чистополье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Коченевского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645,2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69);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пожарного депо на территории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Барышевского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сельсовета Новосибирского района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4 022,2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72);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дание школы по ул. Кубовой, 100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Заельцовском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районе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г.Новосибирска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ассигнования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увеличены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237 000,0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70, 71)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инфраструктурным проектам, реализуемым в рамках постановления Правительства Российской Федерации от 14.07.2021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№ 1189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уменьшены на 1 197 481,5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увеличены на 1 197 481,5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(поправки № 79-81)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АО «АРЖС НСО» в сумме 512 481,53 тыс. руб.,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СД «Карьер» в сумме 550 000,0 тыс. руб.,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ООО «Строительные решения» в сумме 135 000,0 тыс.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экономического развития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бюджетные ассигнования увеличены на 26 271,5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на 34 896,0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расширение мер поддержки предприятий участников национального проекта «Производительность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труда», а также проведение форума «Дни производительности Новосибирской области» в рамках регионального проекта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«Адресная поддержка повышения производительности труда на предприятиях»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137, 138)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на 64 457,8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том числе: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69"/>
        </w:numPr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частие сибирского Детского авиакосмического салона в программе проектно-образовательного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интенсива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«ОСТРОВ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2024 – Новосибирск»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7 700,0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19)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6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ыплата повышенного районного коэффициента к денежному вознаграждению педагогическим работникам за классное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руководство (кураторство) в соответствии с поручением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Президента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от 29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.02.24 г в 2024 году ассигнования увеличены на 1 361,8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16, 17)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ыплата повышенного районного коэффициента к денежному вознаграждению за классное руководство педагогическим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работникам муниципальных организаций общеобразовательных организаций в соответствии с поручением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Президент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от 29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.02.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24 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31 452,3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13-15)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детский сад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с.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Яркуль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в 2024 году ассигнования увеличены на 2 363,7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(поправки №№ 114, 115)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863"/>
        <w:numPr>
          <w:ilvl w:val="0"/>
          <w:numId w:val="6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риобретение сельскохозяйственной техники для ГБПОУ НСО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Здвинский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межрайонны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аграрный лицей»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ассигнования увеличены на 21 580,0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113)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науки и инновационной политики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бюджетные ассигнования увеличены на 15 665,6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2025 году на 23 156,7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., в 2026 году на 24 338,1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держание и обеспечение деятельности АНО «Научно-производственный центр беспилотных авиационных систем Новосибирской области»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(поправка № 62).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физической культуры и спорта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увеличены бюджетные ассигнования на 6 964,3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становк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системы кондиционирования в спортивном (гимнастическом) зале в ГАУ ДО НСО «Центр подготовки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спортивной гимнастики Евгения Подгорного»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(поправка № 105).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1, 3, 4,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13-17, 19,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24, 25, 28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31, 34-44, 46-4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9,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52,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53,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62, 64-72,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74-77,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79-81,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104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107,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112-115,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117, 119, 121, 137-138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  <w:t xml:space="preserve">1.2.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28, 29,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98 направлены на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перераспределение средств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2024 году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для реализации наказов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избирателей депутатам Законодательного Собрания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Новосибирской области: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министерству здравоохранения Новосибирской области перераспределение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750,0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субсидии на сбалансированность г. Новосибирску (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министерство финансов и налоговой политики Новосибирской области)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поправки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28, 29 ,98);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перераспределение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субсидии на сбалансированность в 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100,0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г. Новосибирск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г. Бердск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министерство финансов и налоговой политики Новосибирской области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поправки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28, 29).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28, 29,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98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1.3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 Поправки по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перераспределению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бюджетных ассигнований по ГРБС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(поправки №№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5, 6, 8-1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2, 18,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21, 26, 27,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32, 33,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53, 54,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 57, 58,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78, 84, 86-94, 99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, 108-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110,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119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123,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124,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126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128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135, 136)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863"/>
        <w:numPr>
          <w:ilvl w:val="0"/>
          <w:numId w:val="80"/>
        </w:numPr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 по: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физической культуры и спорта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Новосибирской области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97,04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 №№ 26, 27)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ind w:left="709" w:firstLine="0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труда и социального развития Новосибирской области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21 933,01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110, 108, 109, 119, 126-128, 123, 124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культуры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Новосибирской области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14,7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32, 33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департаменту имущества и земельным отношениям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180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 5, 6)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министерству жилищно-коммунального хозяйства и энергетики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(поправки №№ 53, 54)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природных ресурсов и экологии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5 122,7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8-11)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1"/>
        </w:num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строительства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году в сумме 6 542,3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в 2025 году в сумме 27 150,0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., в 2026 году в сумме 27 000,0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78, 84, 135, 136)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1"/>
        </w:num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министерству экономического развития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Новосибирской области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перераспределен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на 2024-2026 годы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3 900,0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 57, 58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1"/>
        </w:num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сельского хозяйства Новосибирской области перераспределение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на 2024-2026 годы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533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033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86-94)</w:t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1"/>
        </w:num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министерству здравоохранения Новосибирской области перераспределение в 2024 году в сумме 49 250,6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., в 2025 году в сумме 53 990,5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., в 2026 году в сумме 67 642,3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поправка № 99)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1"/>
        </w:num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Новосибирской области перераспределение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2024 году в сумме 3 246,0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поправка № 18),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2024-2026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г.г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17 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поправка № 21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),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2024-2025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44 902,3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поправка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 12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5, 6, 8-1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2, 18,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21, 26, 27,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32, 33,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53, 54,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57, 58,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78, 84, 86-94, 99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108-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110,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119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123,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124,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126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128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135, 136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Style w:val="1059"/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1.4.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№№ 20-23, 50, 51, 55, 56, 63, 9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96, 111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уточняющего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арактера (редакционные, уточнение КБК, ЦСР):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highlight w:val="none"/>
        </w:rPr>
      </w:r>
    </w:p>
    <w:p>
      <w:pPr>
        <w:pStyle w:val="863"/>
        <w:numPr>
          <w:ilvl w:val="0"/>
          <w:numId w:val="77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5, 96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по министерству здравоохранения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3"/>
        <w:numPr>
          <w:ilvl w:val="0"/>
          <w:numId w:val="7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0-23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3"/>
        <w:numPr>
          <w:ilvl w:val="0"/>
          <w:numId w:val="7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поправка № 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труда и социального развития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3"/>
        <w:numPr>
          <w:ilvl w:val="0"/>
          <w:numId w:val="7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50, 51, 55, 56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министерству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63"/>
        <w:numPr>
          <w:ilvl w:val="0"/>
          <w:numId w:val="73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059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 № 63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firstLine="0"/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20-23, 50, 51, 55, 56, 63, 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96, 111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1.5. Источники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расходов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областного бюджета Новосибирской области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уменьшены в сумме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229 738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0</w:t>
      </w:r>
      <w:r>
        <w:rPr>
          <w:rStyle w:val="1059"/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увеличены на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08 840,1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 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увеличены на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211 204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№№ 2, 28, 29, 59-61, 64, 67, 72, 73, 82, 83, 129-131, 139-141,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ч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заемные средства для реализации инфраструктурных проектов на 2024 год уменьшены на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197 481,5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2025 году увеличены на 1 197 481,5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(поправки №№ 139-141)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 министерству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2024 году увеличены на 379,4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(поправки №№ 28, 29)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строительства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2024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127 709,0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в 2025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10 926,6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(поправки №№ 64, 67, 72, 73, 82, 83)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министерству региональной политики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1 048,2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поправка № 2)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министерству экономического развития Новосибирской области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1 148,4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(поправки №№ 59-61)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резервный фонд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Правительства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2024 году увеличен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828 235,5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,в  2025 году увеличен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129 179,3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году увеличен на 129 179,3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(поправка № 131)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возмещение понесенных в 2023 году субъектами РФ расходов на размещение и питание граждан, вынужденно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покинувших Украину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году увеличение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9 223,0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(поправка № 129)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79"/>
        </w:numPr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словно утвержденные расходы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2025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71 252,7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в 2026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82 025,6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(поправка № 130)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u w:val="none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2, 28, 29, 59-61, 64, 67, 72, 73, 82, 83, 129-131, 139-141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Поправки депутата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Законодательного Собрания Новосибирской области Илюхина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 В.В.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 (поправки №№ 165-169, 170-173).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</w:r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165-169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направлены на: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Исключ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ение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финансирования проектов в сфере ГЧП и КС на 2024 год,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63"/>
        <w:numPr>
          <w:ilvl w:val="0"/>
          <w:numId w:val="81"/>
        </w:numPr>
        <w:jc w:val="both"/>
        <w:spacing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строительство 6 школ в г. Новосибирске в сумме 1 162 438,0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3"/>
        <w:numPr>
          <w:ilvl w:val="0"/>
          <w:numId w:val="81"/>
        </w:numPr>
        <w:jc w:val="both"/>
        <w:spacing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строительство объектов для оказания первичной медико-санитарной помощи в г. Новосибирске (семь поликлиник) в сумме 3 879 057,0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63"/>
        <w:numPr>
          <w:ilvl w:val="0"/>
          <w:numId w:val="81"/>
        </w:numPr>
        <w:jc w:val="both"/>
        <w:spacing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строительство инфекционной больницы в сумме 5 841 264,3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Уменьшение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2024 году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общего объема расходов областного бюджета Новосибирской области на сумму 10 882 759,3 тыс. руб. 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дефицита областного бюджета Новосибирской области.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165-169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№2 – поправки, рекомендуемые комитетом к отклонению.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170-173 направлены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увел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ичение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субсидии Новосибирскому району Новосибирской области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п.Ложок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 на финансовое обеспечение создания объектов инфраструктуры 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(или) технологическог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присоединения к сетям инженерно-технического обеспечения для реализации новых инвестиционных проектов за счет средств областного бюджета Новосибирской области, высвобождаемых на условиях реструктурированной задолженности по бюджетным кредитам на 2024 год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 сумму 112 400,0 тыс. 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(строительство канализационно-очистного коллектора)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 счет средств резервного фонда Правительства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170-173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таблицу поправок №2 – поправки, рекомендуемые комитетом к отклонению.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828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Николаев Ф.А.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Костылевский А.В., Илюхин В.В., Колмаков А.В.. Шовтак В.Б.. Голубенко В.Ю., Жафярова М.Н.. Червов В.Д., Хальзов К.В., Диденко И.В., Назаров Е.Г.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Внести на рассмотрение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Закон Новосибирской области «Об областном бюджете Новосибирской области на 2024 год и плановый период 2025 и 2026 годов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рекомендовать его к принятию во втором чтении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учетом поправок, сформированных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таблицу № 1 – поправки, рекомендуемые комитетом к принятию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таблицу № 2 – поправки, рекомендуемые комитетом к отклонению.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 Рекомендовать Правительству Новосибирской области: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при подготовке очередных изменений в закон Новосибирской области «Об областном бюджете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овосибирской области на 2024 год и плановый период 2025 и 2026 годов» (июнь 2024 года)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редусмотреть при формировании приложения 18 «Распределение бюджетных ассигнований инвестиционного фонда Новосибирской области по направлениям и объектам на 2024 год и плановый перио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 2025 и 2026 годов» к Закону об областном бюджете на 2024 год и плановый период 2025 и 2026 годов отражение объемов переходящих остатков бюджетных ассигнований Инвестиционного фонда прошлых лет по строке «Непрограммные направления расходов Инвестиционного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фонда Новосибирской области»;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представить в Законодательное Собрание Новосибирской области следующие материалы и информацию: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копии концессионных соглашений о финансировании, проектировании, строительстве и эксплуатации объектов образования (шесть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общеобразовательных школ) с приложением копий всех заключенных дополнительных соглашений с указанием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объемов финансирования объектов концессионных соглашений по годам и источникам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копии соглашений о государственно-частном партнерстве в отношении объектов здравоохранения (сем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поликлиник) с приложением копий всех заключенных дополнительных соглашений с указанием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объемов финансирования объектов соглашени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государственно-частном партнерстве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годам и источникам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копию соглашения о государственно-частном партнерстве в отношении инфекционной больницы с приложением копий всех заключенных дополнительных соглашений с указанием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объемов финансирования объекта соглашения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государственно-частном партнерстве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годам и источникам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целью создания в оптимальные сроки объектов в сфере образования и здравоохранения, реализуемых в настоящее время в рамках соглашений о государственно-частном партнерстве, концессиях, сформировать предложения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возможном изменении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механизм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участия Новосибирской области в их строительстве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сроках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создания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финансировании. Предложения направить в комитет до 7 июня 2024 года.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 Отметить, что в поступивших от Губернатора Новосибирской области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второму чтению поправках к проекту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 не учтено решение комитета от 17.04.2024 года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необходимости уточнения ко второму чтению объемов финансирования объектов, реализуемых в рамках концессионных соглашений и соглашений о государственно-частном партнерстве, в соответствии с фактической степенью готовности объектов и условиями соглашений.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протоколу № 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23 апреля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Деев Владимир Геннадьевич – заместитель министра культуры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Деркач Татьяна Николаевна – министр юстиции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Хальзов Константин Васильевич – министр здравоохранения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Костылевский Анатолий Викторович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министр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Мордина Ольга Александровна - советник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Назаров Евгений Геннальевич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Шовтак Виталий Борисович – и.о. министра экономического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Жафярова Марина Наильевна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министр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разования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Толстых Вячеслав Леонидович – заместитель начальника управления по надзо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ру за исполнением федерального законодательства прокуратуры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ascii="Times New Roman" w:hAnsi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5"/>
        <w:szCs w:val="25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43"/>
  </w:num>
  <w:num w:numId="2">
    <w:abstractNumId w:val="34"/>
  </w:num>
  <w:num w:numId="3">
    <w:abstractNumId w:val="28"/>
  </w:num>
  <w:num w:numId="4">
    <w:abstractNumId w:val="11"/>
  </w:num>
  <w:num w:numId="5">
    <w:abstractNumId w:val="47"/>
  </w:num>
  <w:num w:numId="6">
    <w:abstractNumId w:val="46"/>
  </w:num>
  <w:num w:numId="7">
    <w:abstractNumId w:val="31"/>
  </w:num>
  <w:num w:numId="8">
    <w:abstractNumId w:val="21"/>
  </w:num>
  <w:num w:numId="9">
    <w:abstractNumId w:val="23"/>
  </w:num>
  <w:num w:numId="10">
    <w:abstractNumId w:val="37"/>
  </w:num>
  <w:num w:numId="11">
    <w:abstractNumId w:val="35"/>
  </w:num>
  <w:num w:numId="12">
    <w:abstractNumId w:val="17"/>
  </w:num>
  <w:num w:numId="13">
    <w:abstractNumId w:val="27"/>
  </w:num>
  <w:num w:numId="14">
    <w:abstractNumId w:val="6"/>
  </w:num>
  <w:num w:numId="15">
    <w:abstractNumId w:val="2"/>
  </w:num>
  <w:num w:numId="16">
    <w:abstractNumId w:val="41"/>
  </w:num>
  <w:num w:numId="17">
    <w:abstractNumId w:val="40"/>
  </w:num>
  <w:num w:numId="18">
    <w:abstractNumId w:val="3"/>
  </w:num>
  <w:num w:numId="19">
    <w:abstractNumId w:val="20"/>
  </w:num>
  <w:num w:numId="20">
    <w:abstractNumId w:val="33"/>
  </w:num>
  <w:num w:numId="21">
    <w:abstractNumId w:val="32"/>
  </w:num>
  <w:num w:numId="22">
    <w:abstractNumId w:val="8"/>
  </w:num>
  <w:num w:numId="23">
    <w:abstractNumId w:val="24"/>
  </w:num>
  <w:num w:numId="24">
    <w:abstractNumId w:val="10"/>
  </w:num>
  <w:num w:numId="25">
    <w:abstractNumId w:val="29"/>
  </w:num>
  <w:num w:numId="26">
    <w:abstractNumId w:val="42"/>
  </w:num>
  <w:num w:numId="27">
    <w:abstractNumId w:val="25"/>
  </w:num>
  <w:num w:numId="28">
    <w:abstractNumId w:val="36"/>
  </w:num>
  <w:num w:numId="29">
    <w:abstractNumId w:val="44"/>
  </w:num>
  <w:num w:numId="30">
    <w:abstractNumId w:val="15"/>
  </w:num>
  <w:num w:numId="31">
    <w:abstractNumId w:val="48"/>
  </w:num>
  <w:num w:numId="32">
    <w:abstractNumId w:val="26"/>
  </w:num>
  <w:num w:numId="33">
    <w:abstractNumId w:val="30"/>
  </w:num>
  <w:num w:numId="34">
    <w:abstractNumId w:val="9"/>
  </w:num>
  <w:num w:numId="35">
    <w:abstractNumId w:val="4"/>
  </w:num>
  <w:num w:numId="36">
    <w:abstractNumId w:val="14"/>
  </w:num>
  <w:num w:numId="37">
    <w:abstractNumId w:val="38"/>
  </w:num>
  <w:num w:numId="38">
    <w:abstractNumId w:val="5"/>
  </w:num>
  <w:num w:numId="39">
    <w:abstractNumId w:val="19"/>
  </w:num>
  <w:num w:numId="40">
    <w:abstractNumId w:val="18"/>
  </w:num>
  <w:num w:numId="41">
    <w:abstractNumId w:val="16"/>
  </w:num>
  <w:num w:numId="42">
    <w:abstractNumId w:val="7"/>
  </w:num>
  <w:num w:numId="43">
    <w:abstractNumId w:val="1"/>
  </w:num>
  <w:num w:numId="44">
    <w:abstractNumId w:val="0"/>
  </w:num>
  <w:num w:numId="45">
    <w:abstractNumId w:val="13"/>
  </w:num>
  <w:num w:numId="46">
    <w:abstractNumId w:val="39"/>
  </w:num>
  <w:num w:numId="47">
    <w:abstractNumId w:val="12"/>
  </w:num>
  <w:num w:numId="48">
    <w:abstractNumId w:val="22"/>
  </w:num>
  <w:num w:numId="49">
    <w:abstractNumId w:val="45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8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829">
    <w:name w:val="Heading 1"/>
    <w:basedOn w:val="828"/>
    <w:next w:val="828"/>
    <w:link w:val="1022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830">
    <w:name w:val="Heading 2"/>
    <w:basedOn w:val="828"/>
    <w:next w:val="828"/>
    <w:link w:val="1023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831">
    <w:name w:val="Heading 3"/>
    <w:basedOn w:val="828"/>
    <w:next w:val="828"/>
    <w:link w:val="85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832">
    <w:name w:val="Heading 4"/>
    <w:basedOn w:val="828"/>
    <w:next w:val="828"/>
    <w:link w:val="85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3">
    <w:name w:val="Heading 5"/>
    <w:basedOn w:val="828"/>
    <w:next w:val="828"/>
    <w:link w:val="85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4">
    <w:name w:val="Heading 6"/>
    <w:basedOn w:val="828"/>
    <w:next w:val="828"/>
    <w:link w:val="85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835">
    <w:name w:val="Heading 7"/>
    <w:basedOn w:val="828"/>
    <w:next w:val="828"/>
    <w:link w:val="86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36">
    <w:name w:val="Heading 8"/>
    <w:basedOn w:val="828"/>
    <w:next w:val="828"/>
    <w:link w:val="86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37">
    <w:name w:val="Heading 9"/>
    <w:basedOn w:val="828"/>
    <w:next w:val="828"/>
    <w:link w:val="86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character" w:styleId="841" w:customStyle="1">
    <w:name w:val="Heading 3 Char"/>
    <w:basedOn w:val="838"/>
    <w:uiPriority w:val="9"/>
    <w:rPr>
      <w:rFonts w:ascii="Arial" w:hAnsi="Arial" w:eastAsia="Arial" w:cs="Arial"/>
      <w:sz w:val="30"/>
      <w:szCs w:val="30"/>
    </w:rPr>
  </w:style>
  <w:style w:type="character" w:styleId="842" w:customStyle="1">
    <w:name w:val="Heading 4 Char"/>
    <w:basedOn w:val="838"/>
    <w:uiPriority w:val="9"/>
    <w:rPr>
      <w:rFonts w:ascii="Arial" w:hAnsi="Arial" w:eastAsia="Arial" w:cs="Arial"/>
      <w:b/>
      <w:bCs/>
      <w:sz w:val="26"/>
      <w:szCs w:val="26"/>
    </w:rPr>
  </w:style>
  <w:style w:type="character" w:styleId="843" w:customStyle="1">
    <w:name w:val="Heading 5 Char"/>
    <w:basedOn w:val="838"/>
    <w:uiPriority w:val="9"/>
    <w:rPr>
      <w:rFonts w:ascii="Arial" w:hAnsi="Arial" w:eastAsia="Arial" w:cs="Arial"/>
      <w:b/>
      <w:bCs/>
      <w:sz w:val="24"/>
      <w:szCs w:val="24"/>
    </w:rPr>
  </w:style>
  <w:style w:type="character" w:styleId="844" w:customStyle="1">
    <w:name w:val="Heading 6 Char"/>
    <w:basedOn w:val="838"/>
    <w:uiPriority w:val="9"/>
    <w:rPr>
      <w:rFonts w:ascii="Arial" w:hAnsi="Arial" w:eastAsia="Arial" w:cs="Arial"/>
      <w:b/>
      <w:bCs/>
      <w:sz w:val="22"/>
      <w:szCs w:val="22"/>
    </w:rPr>
  </w:style>
  <w:style w:type="character" w:styleId="845" w:customStyle="1">
    <w:name w:val="Heading 7 Char"/>
    <w:basedOn w:val="8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6" w:customStyle="1">
    <w:name w:val="Heading 8 Char"/>
    <w:basedOn w:val="838"/>
    <w:uiPriority w:val="9"/>
    <w:rPr>
      <w:rFonts w:ascii="Arial" w:hAnsi="Arial" w:eastAsia="Arial" w:cs="Arial"/>
      <w:i/>
      <w:iCs/>
      <w:sz w:val="22"/>
      <w:szCs w:val="22"/>
    </w:rPr>
  </w:style>
  <w:style w:type="character" w:styleId="847" w:customStyle="1">
    <w:name w:val="Heading 9 Char"/>
    <w:basedOn w:val="838"/>
    <w:uiPriority w:val="9"/>
    <w:rPr>
      <w:rFonts w:ascii="Arial" w:hAnsi="Arial" w:eastAsia="Arial" w:cs="Arial"/>
      <w:i/>
      <w:iCs/>
      <w:sz w:val="21"/>
      <w:szCs w:val="21"/>
    </w:rPr>
  </w:style>
  <w:style w:type="character" w:styleId="848" w:customStyle="1">
    <w:name w:val="Title Char"/>
    <w:basedOn w:val="838"/>
    <w:uiPriority w:val="10"/>
    <w:rPr>
      <w:sz w:val="48"/>
      <w:szCs w:val="48"/>
    </w:rPr>
  </w:style>
  <w:style w:type="character" w:styleId="849" w:customStyle="1">
    <w:name w:val="Subtitle Char"/>
    <w:basedOn w:val="838"/>
    <w:uiPriority w:val="11"/>
    <w:rPr>
      <w:sz w:val="24"/>
      <w:szCs w:val="24"/>
    </w:rPr>
  </w:style>
  <w:style w:type="character" w:styleId="850" w:customStyle="1">
    <w:name w:val="Quote Char"/>
    <w:uiPriority w:val="29"/>
    <w:rPr>
      <w:i/>
    </w:rPr>
  </w:style>
  <w:style w:type="character" w:styleId="851" w:customStyle="1">
    <w:name w:val="Intense Quote Char"/>
    <w:uiPriority w:val="30"/>
    <w:rPr>
      <w:i/>
    </w:rPr>
  </w:style>
  <w:style w:type="character" w:styleId="852" w:customStyle="1">
    <w:name w:val="Footnote Text Char"/>
    <w:uiPriority w:val="99"/>
    <w:rPr>
      <w:sz w:val="18"/>
    </w:rPr>
  </w:style>
  <w:style w:type="character" w:styleId="853" w:customStyle="1">
    <w:name w:val="Endnote Text Char"/>
    <w:uiPriority w:val="99"/>
    <w:rPr>
      <w:sz w:val="20"/>
    </w:rPr>
  </w:style>
  <w:style w:type="character" w:styleId="85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55" w:customStyle="1">
    <w:name w:val="Heading 2 Char"/>
    <w:uiPriority w:val="9"/>
    <w:rPr>
      <w:rFonts w:ascii="Arial" w:hAnsi="Arial" w:eastAsia="Arial" w:cs="Arial"/>
      <w:sz w:val="34"/>
    </w:rPr>
  </w:style>
  <w:style w:type="character" w:styleId="856" w:customStyle="1">
    <w:name w:val="Заголовок 3 Знак"/>
    <w:link w:val="831"/>
    <w:uiPriority w:val="9"/>
    <w:rPr>
      <w:rFonts w:ascii="Arial" w:hAnsi="Arial" w:eastAsia="Arial" w:cs="Arial"/>
      <w:sz w:val="30"/>
      <w:szCs w:val="30"/>
    </w:rPr>
  </w:style>
  <w:style w:type="character" w:styleId="857" w:customStyle="1">
    <w:name w:val="Заголовок 4 Знак"/>
    <w:link w:val="832"/>
    <w:uiPriority w:val="9"/>
    <w:rPr>
      <w:rFonts w:ascii="Arial" w:hAnsi="Arial" w:eastAsia="Arial" w:cs="Arial"/>
      <w:b/>
      <w:bCs/>
      <w:sz w:val="26"/>
      <w:szCs w:val="26"/>
    </w:rPr>
  </w:style>
  <w:style w:type="character" w:styleId="858" w:customStyle="1">
    <w:name w:val="Заголовок 5 Знак"/>
    <w:link w:val="833"/>
    <w:uiPriority w:val="9"/>
    <w:rPr>
      <w:rFonts w:ascii="Arial" w:hAnsi="Arial" w:eastAsia="Arial" w:cs="Arial"/>
      <w:b/>
      <w:bCs/>
      <w:sz w:val="24"/>
      <w:szCs w:val="24"/>
    </w:rPr>
  </w:style>
  <w:style w:type="character" w:styleId="859" w:customStyle="1">
    <w:name w:val="Заголовок 6 Знак"/>
    <w:link w:val="834"/>
    <w:uiPriority w:val="9"/>
    <w:rPr>
      <w:rFonts w:ascii="Arial" w:hAnsi="Arial" w:eastAsia="Arial" w:cs="Arial"/>
      <w:b/>
      <w:bCs/>
      <w:sz w:val="22"/>
      <w:szCs w:val="22"/>
    </w:rPr>
  </w:style>
  <w:style w:type="character" w:styleId="860" w:customStyle="1">
    <w:name w:val="Заголовок 7 Знак"/>
    <w:link w:val="8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1" w:customStyle="1">
    <w:name w:val="Заголовок 8 Знак"/>
    <w:link w:val="836"/>
    <w:uiPriority w:val="9"/>
    <w:rPr>
      <w:rFonts w:ascii="Arial" w:hAnsi="Arial" w:eastAsia="Arial" w:cs="Arial"/>
      <w:i/>
      <w:iCs/>
      <w:sz w:val="22"/>
      <w:szCs w:val="22"/>
    </w:rPr>
  </w:style>
  <w:style w:type="character" w:styleId="862" w:customStyle="1">
    <w:name w:val="Заголовок 9 Знак"/>
    <w:link w:val="837"/>
    <w:uiPriority w:val="9"/>
    <w:rPr>
      <w:rFonts w:ascii="Arial" w:hAnsi="Arial" w:eastAsia="Arial" w:cs="Arial"/>
      <w:i/>
      <w:iCs/>
      <w:sz w:val="21"/>
      <w:szCs w:val="21"/>
    </w:rPr>
  </w:style>
  <w:style w:type="paragraph" w:styleId="863">
    <w:name w:val="List Paragraph"/>
    <w:basedOn w:val="828"/>
    <w:uiPriority w:val="34"/>
    <w:qFormat/>
    <w:pPr>
      <w:contextualSpacing/>
      <w:ind w:left="720"/>
    </w:pPr>
  </w:style>
  <w:style w:type="paragraph" w:styleId="864">
    <w:name w:val="No Spacing"/>
    <w:uiPriority w:val="1"/>
    <w:qFormat/>
  </w:style>
  <w:style w:type="paragraph" w:styleId="865">
    <w:name w:val="Title"/>
    <w:basedOn w:val="828"/>
    <w:next w:val="828"/>
    <w:link w:val="866"/>
    <w:uiPriority w:val="10"/>
    <w:qFormat/>
    <w:pPr>
      <w:contextualSpacing/>
      <w:spacing w:before="300"/>
    </w:pPr>
    <w:rPr>
      <w:sz w:val="48"/>
      <w:szCs w:val="48"/>
    </w:rPr>
  </w:style>
  <w:style w:type="character" w:styleId="866" w:customStyle="1">
    <w:name w:val="Заголовок Знак1"/>
    <w:link w:val="865"/>
    <w:uiPriority w:val="10"/>
    <w:rPr>
      <w:sz w:val="48"/>
      <w:szCs w:val="48"/>
    </w:rPr>
  </w:style>
  <w:style w:type="paragraph" w:styleId="867">
    <w:name w:val="Subtitle"/>
    <w:basedOn w:val="828"/>
    <w:next w:val="828"/>
    <w:link w:val="868"/>
    <w:uiPriority w:val="11"/>
    <w:qFormat/>
    <w:pPr>
      <w:spacing w:before="200"/>
    </w:pPr>
    <w:rPr>
      <w:sz w:val="24"/>
      <w:szCs w:val="24"/>
    </w:rPr>
  </w:style>
  <w:style w:type="character" w:styleId="868" w:customStyle="1">
    <w:name w:val="Подзаголовок Знак"/>
    <w:link w:val="867"/>
    <w:uiPriority w:val="11"/>
    <w:rPr>
      <w:sz w:val="24"/>
      <w:szCs w:val="24"/>
    </w:rPr>
  </w:style>
  <w:style w:type="paragraph" w:styleId="869">
    <w:name w:val="Quote"/>
    <w:basedOn w:val="828"/>
    <w:next w:val="828"/>
    <w:link w:val="870"/>
    <w:uiPriority w:val="29"/>
    <w:qFormat/>
    <w:pPr>
      <w:ind w:left="720" w:right="720"/>
    </w:pPr>
    <w:rPr>
      <w:i/>
    </w:rPr>
  </w:style>
  <w:style w:type="character" w:styleId="870" w:customStyle="1">
    <w:name w:val="Цитата 2 Знак"/>
    <w:link w:val="869"/>
    <w:uiPriority w:val="29"/>
    <w:rPr>
      <w:i/>
    </w:rPr>
  </w:style>
  <w:style w:type="paragraph" w:styleId="871">
    <w:name w:val="Intense Quote"/>
    <w:basedOn w:val="828"/>
    <w:next w:val="828"/>
    <w:link w:val="8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2" w:customStyle="1">
    <w:name w:val="Выделенная цитата Знак"/>
    <w:link w:val="871"/>
    <w:uiPriority w:val="30"/>
    <w:rPr>
      <w:i/>
    </w:rPr>
  </w:style>
  <w:style w:type="paragraph" w:styleId="873">
    <w:name w:val="Header"/>
    <w:basedOn w:val="828"/>
    <w:link w:val="103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4" w:customStyle="1">
    <w:name w:val="Header Char"/>
    <w:uiPriority w:val="99"/>
  </w:style>
  <w:style w:type="paragraph" w:styleId="875">
    <w:name w:val="Footer"/>
    <w:basedOn w:val="828"/>
    <w:link w:val="1037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876">
    <w:name w:val="Caption"/>
    <w:basedOn w:val="828"/>
    <w:next w:val="82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77" w:customStyle="1">
    <w:name w:val="Caption Char"/>
    <w:uiPriority w:val="99"/>
  </w:style>
  <w:style w:type="table" w:styleId="878">
    <w:name w:val="Table Grid"/>
    <w:basedOn w:val="839"/>
    <w:rPr>
      <w:rFonts w:cs="Times New Roman"/>
    </w:rPr>
    <w:tblPr/>
  </w:style>
  <w:style w:type="table" w:styleId="87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0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2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3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5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0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0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1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1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1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13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1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1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1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1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20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2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2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2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2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4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4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4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4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4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48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9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7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7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7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7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7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76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9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0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0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0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0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04">
    <w:name w:val="Hyperlink"/>
    <w:uiPriority w:val="99"/>
    <w:unhideWhenUsed/>
    <w:rPr>
      <w:color w:val="0000ff"/>
      <w:u w:val="single"/>
    </w:rPr>
  </w:style>
  <w:style w:type="paragraph" w:styleId="1005">
    <w:name w:val="footnote text"/>
    <w:basedOn w:val="828"/>
    <w:link w:val="1006"/>
    <w:uiPriority w:val="99"/>
    <w:semiHidden/>
    <w:unhideWhenUsed/>
    <w:pPr>
      <w:spacing w:after="40" w:line="240" w:lineRule="auto"/>
    </w:pPr>
    <w:rPr>
      <w:sz w:val="18"/>
    </w:rPr>
  </w:style>
  <w:style w:type="character" w:styleId="1006" w:customStyle="1">
    <w:name w:val="Текст сноски Знак"/>
    <w:link w:val="1005"/>
    <w:uiPriority w:val="99"/>
    <w:rPr>
      <w:sz w:val="18"/>
    </w:rPr>
  </w:style>
  <w:style w:type="character" w:styleId="1007">
    <w:name w:val="footnote reference"/>
    <w:uiPriority w:val="99"/>
    <w:unhideWhenUsed/>
    <w:rPr>
      <w:vertAlign w:val="superscript"/>
    </w:rPr>
  </w:style>
  <w:style w:type="paragraph" w:styleId="1008">
    <w:name w:val="endnote text"/>
    <w:basedOn w:val="828"/>
    <w:link w:val="1009"/>
    <w:uiPriority w:val="99"/>
    <w:semiHidden/>
    <w:unhideWhenUsed/>
    <w:pPr>
      <w:spacing w:after="0" w:line="240" w:lineRule="auto"/>
    </w:pPr>
    <w:rPr>
      <w:sz w:val="20"/>
    </w:rPr>
  </w:style>
  <w:style w:type="character" w:styleId="1009" w:customStyle="1">
    <w:name w:val="Текст концевой сноски Знак"/>
    <w:link w:val="1008"/>
    <w:uiPriority w:val="99"/>
    <w:rPr>
      <w:sz w:val="20"/>
    </w:rPr>
  </w:style>
  <w:style w:type="character" w:styleId="1010">
    <w:name w:val="endnote reference"/>
    <w:uiPriority w:val="99"/>
    <w:semiHidden/>
    <w:unhideWhenUsed/>
    <w:rPr>
      <w:vertAlign w:val="superscript"/>
    </w:rPr>
  </w:style>
  <w:style w:type="paragraph" w:styleId="1011">
    <w:name w:val="toc 1"/>
    <w:basedOn w:val="828"/>
    <w:next w:val="828"/>
    <w:uiPriority w:val="39"/>
    <w:unhideWhenUsed/>
    <w:pPr>
      <w:spacing w:after="57"/>
    </w:pPr>
  </w:style>
  <w:style w:type="paragraph" w:styleId="1012">
    <w:name w:val="toc 2"/>
    <w:basedOn w:val="828"/>
    <w:next w:val="828"/>
    <w:uiPriority w:val="39"/>
    <w:unhideWhenUsed/>
    <w:pPr>
      <w:ind w:left="283"/>
      <w:spacing w:after="57"/>
    </w:pPr>
  </w:style>
  <w:style w:type="paragraph" w:styleId="1013">
    <w:name w:val="toc 3"/>
    <w:basedOn w:val="828"/>
    <w:next w:val="828"/>
    <w:uiPriority w:val="39"/>
    <w:unhideWhenUsed/>
    <w:pPr>
      <w:ind w:left="567"/>
      <w:spacing w:after="57"/>
    </w:pPr>
  </w:style>
  <w:style w:type="paragraph" w:styleId="1014">
    <w:name w:val="toc 4"/>
    <w:basedOn w:val="828"/>
    <w:next w:val="828"/>
    <w:uiPriority w:val="39"/>
    <w:unhideWhenUsed/>
    <w:pPr>
      <w:ind w:left="850"/>
      <w:spacing w:after="57"/>
    </w:pPr>
  </w:style>
  <w:style w:type="paragraph" w:styleId="1015">
    <w:name w:val="toc 5"/>
    <w:basedOn w:val="828"/>
    <w:next w:val="828"/>
    <w:uiPriority w:val="39"/>
    <w:unhideWhenUsed/>
    <w:pPr>
      <w:ind w:left="1134"/>
      <w:spacing w:after="57"/>
    </w:pPr>
  </w:style>
  <w:style w:type="paragraph" w:styleId="1016">
    <w:name w:val="toc 6"/>
    <w:basedOn w:val="828"/>
    <w:next w:val="828"/>
    <w:uiPriority w:val="39"/>
    <w:unhideWhenUsed/>
    <w:pPr>
      <w:ind w:left="1417"/>
      <w:spacing w:after="57"/>
    </w:pPr>
  </w:style>
  <w:style w:type="paragraph" w:styleId="1017">
    <w:name w:val="toc 7"/>
    <w:basedOn w:val="828"/>
    <w:next w:val="828"/>
    <w:uiPriority w:val="39"/>
    <w:unhideWhenUsed/>
    <w:pPr>
      <w:ind w:left="1701"/>
      <w:spacing w:after="57"/>
    </w:pPr>
  </w:style>
  <w:style w:type="paragraph" w:styleId="1018">
    <w:name w:val="toc 8"/>
    <w:basedOn w:val="828"/>
    <w:next w:val="828"/>
    <w:uiPriority w:val="39"/>
    <w:unhideWhenUsed/>
    <w:pPr>
      <w:ind w:left="1984"/>
      <w:spacing w:after="57"/>
    </w:pPr>
  </w:style>
  <w:style w:type="paragraph" w:styleId="1019">
    <w:name w:val="toc 9"/>
    <w:basedOn w:val="828"/>
    <w:next w:val="828"/>
    <w:uiPriority w:val="39"/>
    <w:unhideWhenUsed/>
    <w:pPr>
      <w:ind w:left="2268"/>
      <w:spacing w:after="57"/>
    </w:pPr>
  </w:style>
  <w:style w:type="paragraph" w:styleId="1020">
    <w:name w:val="TOC Heading"/>
    <w:uiPriority w:val="39"/>
    <w:unhideWhenUsed/>
  </w:style>
  <w:style w:type="paragraph" w:styleId="1021">
    <w:name w:val="table of figures"/>
    <w:basedOn w:val="828"/>
    <w:next w:val="828"/>
    <w:uiPriority w:val="99"/>
    <w:unhideWhenUsed/>
    <w:pPr>
      <w:spacing w:after="0"/>
    </w:pPr>
  </w:style>
  <w:style w:type="character" w:styleId="1022" w:customStyle="1">
    <w:name w:val="Заголовок 1 Знак"/>
    <w:link w:val="829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1023" w:customStyle="1">
    <w:name w:val="Заголовок 2 Знак"/>
    <w:link w:val="830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1024">
    <w:name w:val="Body Text"/>
    <w:basedOn w:val="828"/>
    <w:link w:val="1025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1025" w:customStyle="1">
    <w:name w:val="Основной текст Знак"/>
    <w:link w:val="1024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1026">
    <w:name w:val="Body Text 2"/>
    <w:basedOn w:val="828"/>
    <w:link w:val="1027"/>
    <w:uiPriority w:val="99"/>
    <w:semiHidden/>
    <w:pPr>
      <w:spacing w:after="120" w:line="480" w:lineRule="auto"/>
    </w:pPr>
    <w:rPr>
      <w:sz w:val="20"/>
      <w:szCs w:val="20"/>
    </w:rPr>
  </w:style>
  <w:style w:type="character" w:styleId="1027" w:customStyle="1">
    <w:name w:val="Основной текст 2 Знак"/>
    <w:link w:val="1026"/>
    <w:uiPriority w:val="99"/>
    <w:semiHidden/>
    <w:rPr>
      <w:rFonts w:ascii="Times New Roman" w:hAnsi="Times New Roman" w:cs="Times New Roman"/>
      <w:sz w:val="20"/>
      <w:szCs w:val="20"/>
    </w:rPr>
  </w:style>
  <w:style w:type="paragraph" w:styleId="1028">
    <w:name w:val="Balloon Text"/>
    <w:basedOn w:val="828"/>
    <w:link w:val="102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29" w:customStyle="1">
    <w:name w:val="Текст выноски Знак"/>
    <w:link w:val="1028"/>
    <w:uiPriority w:val="99"/>
    <w:semiHidden/>
    <w:rPr>
      <w:rFonts w:ascii="Tahoma" w:hAnsi="Tahoma" w:cs="Tahoma"/>
      <w:sz w:val="16"/>
      <w:szCs w:val="16"/>
    </w:rPr>
  </w:style>
  <w:style w:type="paragraph" w:styleId="1030" w:customStyle="1">
    <w:name w:val="Абзац списка1"/>
    <w:basedOn w:val="828"/>
    <w:uiPriority w:val="99"/>
    <w:pPr>
      <w:ind w:left="720"/>
    </w:pPr>
  </w:style>
  <w:style w:type="paragraph" w:styleId="1031" w:customStyle="1">
    <w:name w:val="Название"/>
    <w:basedOn w:val="828"/>
    <w:link w:val="1032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1032" w:customStyle="1">
    <w:name w:val="Название Знак"/>
    <w:link w:val="1031"/>
    <w:rPr>
      <w:b/>
      <w:bCs/>
      <w:sz w:val="24"/>
      <w:szCs w:val="24"/>
      <w:lang w:val="ru-RU" w:eastAsia="ru-RU"/>
    </w:rPr>
  </w:style>
  <w:style w:type="paragraph" w:styleId="1033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1034">
    <w:name w:val="Body Text Indent"/>
    <w:basedOn w:val="828"/>
    <w:link w:val="1035"/>
    <w:uiPriority w:val="99"/>
    <w:pPr>
      <w:ind w:left="283"/>
      <w:spacing w:after="120"/>
    </w:pPr>
  </w:style>
  <w:style w:type="character" w:styleId="1035" w:customStyle="1">
    <w:name w:val="Основной текст с отступом Знак"/>
    <w:link w:val="1034"/>
    <w:uiPriority w:val="99"/>
    <w:semiHidden/>
    <w:rPr>
      <w:sz w:val="22"/>
      <w:szCs w:val="22"/>
    </w:rPr>
  </w:style>
  <w:style w:type="character" w:styleId="1036" w:customStyle="1">
    <w:name w:val="Footer Char"/>
    <w:uiPriority w:val="99"/>
    <w:rPr>
      <w:sz w:val="28"/>
      <w:szCs w:val="28"/>
      <w:lang w:val="ru-RU" w:eastAsia="ru-RU"/>
    </w:rPr>
  </w:style>
  <w:style w:type="character" w:styleId="1037" w:customStyle="1">
    <w:name w:val="Нижний колонтитул Знак"/>
    <w:link w:val="875"/>
    <w:rPr>
      <w:sz w:val="22"/>
      <w:szCs w:val="22"/>
    </w:rPr>
  </w:style>
  <w:style w:type="paragraph" w:styleId="1038" w:customStyle="1">
    <w:name w:val="Абзац списка;ПАРАГРАФ;List Paragraph;Абзац списка11;Список_маркированный;Список_маркированный1"/>
    <w:basedOn w:val="828"/>
    <w:uiPriority w:val="34"/>
    <w:qFormat/>
    <w:pPr>
      <w:contextualSpacing/>
      <w:ind w:left="720"/>
    </w:pPr>
  </w:style>
  <w:style w:type="character" w:styleId="1039" w:customStyle="1">
    <w:name w:val="Верхний колонтитул Знак"/>
    <w:basedOn w:val="838"/>
    <w:link w:val="873"/>
    <w:uiPriority w:val="99"/>
  </w:style>
  <w:style w:type="character" w:styleId="1040">
    <w:name w:val="Strong"/>
    <w:uiPriority w:val="22"/>
    <w:qFormat/>
    <w:rPr>
      <w:b/>
      <w:bCs/>
    </w:rPr>
  </w:style>
  <w:style w:type="paragraph" w:styleId="1041">
    <w:name w:val="Normal (Web)"/>
    <w:basedOn w:val="82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1042" w:customStyle="1">
    <w:name w:val="Основной текст_"/>
    <w:link w:val="1043"/>
    <w:rPr>
      <w:spacing w:val="-2"/>
      <w:sz w:val="25"/>
      <w:szCs w:val="25"/>
      <w:shd w:val="clear" w:color="auto" w:fill="ffffff"/>
    </w:rPr>
  </w:style>
  <w:style w:type="paragraph" w:styleId="1043" w:customStyle="1">
    <w:name w:val="Основной текст1"/>
    <w:basedOn w:val="828"/>
    <w:link w:val="1042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1044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1045" w:customStyle="1">
    <w:name w:val="Основной текст (12)_"/>
    <w:link w:val="1046"/>
    <w:rPr>
      <w:spacing w:val="2"/>
      <w:shd w:val="clear" w:color="auto" w:fill="ffffff"/>
    </w:rPr>
  </w:style>
  <w:style w:type="paragraph" w:styleId="1046" w:customStyle="1">
    <w:name w:val="Основной текст (12)"/>
    <w:basedOn w:val="828"/>
    <w:link w:val="1045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1047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1048" w:customStyle="1">
    <w:name w:val="ConsPlusNormal"/>
    <w:link w:val="1049"/>
    <w:pPr>
      <w:ind w:firstLine="720"/>
      <w:widowControl w:val="off"/>
    </w:pPr>
    <w:rPr>
      <w:rFonts w:ascii="Arial" w:hAnsi="Arial" w:cs="Arial"/>
      <w:lang w:eastAsia="ru-RU"/>
    </w:rPr>
  </w:style>
  <w:style w:type="character" w:styleId="1049" w:customStyle="1">
    <w:name w:val="ConsPlusNormal Знак"/>
    <w:link w:val="1048"/>
    <w:rPr>
      <w:rFonts w:ascii="Arial" w:hAnsi="Arial" w:cs="Arial"/>
    </w:rPr>
  </w:style>
  <w:style w:type="character" w:styleId="1050" w:customStyle="1">
    <w:name w:val="Основной текст + Интервал 0 pt"/>
    <w:basedOn w:val="1042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1051" w:customStyle="1">
    <w:name w:val="Основной текст (18)"/>
    <w:link w:val="1054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1052" w:customStyle="1">
    <w:name w:val="Основной текст (15)_"/>
    <w:link w:val="1058"/>
    <w:rPr>
      <w:spacing w:val="3"/>
      <w:shd w:val="clear" w:color="auto" w:fill="ffffff"/>
    </w:rPr>
  </w:style>
  <w:style w:type="paragraph" w:styleId="1053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1054" w:customStyle="1">
    <w:name w:val="Основной текст (18)_"/>
    <w:link w:val="1051"/>
    <w:rPr>
      <w:rFonts w:cs="Times New Roman"/>
      <w:spacing w:val="7"/>
      <w:shd w:val="clear" w:color="auto" w:fill="ffffff"/>
      <w:lang w:eastAsia="ru-RU"/>
    </w:rPr>
  </w:style>
  <w:style w:type="character" w:styleId="1055" w:customStyle="1">
    <w:name w:val="Основной текст (4)_"/>
    <w:basedOn w:val="838"/>
    <w:link w:val="1057"/>
    <w:rPr>
      <w:spacing w:val="6"/>
      <w:shd w:val="clear" w:color="auto" w:fill="ffffff"/>
    </w:rPr>
  </w:style>
  <w:style w:type="character" w:styleId="1056" w:customStyle="1">
    <w:name w:val="Основной текст (4) + 9.5 pt"/>
    <w:basedOn w:val="1055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1057" w:customStyle="1">
    <w:name w:val="Основной текст (4)"/>
    <w:basedOn w:val="828"/>
    <w:link w:val="1055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1058" w:customStyle="1">
    <w:name w:val="Основной текст (15)"/>
    <w:basedOn w:val="828"/>
    <w:link w:val="1052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1059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34</cp:revision>
  <dcterms:created xsi:type="dcterms:W3CDTF">2024-03-18T02:13:00Z</dcterms:created>
  <dcterms:modified xsi:type="dcterms:W3CDTF">2024-04-26T03:09:41Z</dcterms:modified>
  <cp:version>1048576</cp:version>
</cp:coreProperties>
</file>