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апреля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12-00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ул.Кирова,3 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8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 участника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Кальченко С.В., Диденко И.В., Знатков В.М., Шимкив А.И., Голубенко В.Ю., Николаев Ф.А., Назаров Е.Г., Кулинич А.А., Миллер И.В.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годов»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2.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2. 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Рекомендовать Правительству Новосибирской области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принять меры по надлежащему исполнению областными исполнительными органами государственной власти Новосибирской области требований ч.4 ст. 18 и ч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 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.1 ст. 25 Закона Новосибирской области «О бюджетном пр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оцессе в Новосибирской области»;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принять необходимые управленческие решения, направленные на использование невостребованных в текущем финансовом году бюджетных средств инвестиционного фонда Новосибирской области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в целях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повышения эффективности финансирования бюджетных обя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зательств Новосибирской области;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совместно с комитетом по бюджетной, финансово-экономической политике и собственности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доработать ко второму чтению проект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 в части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уточнения объемов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финансирования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объект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ов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реализуемы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х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в рамках концессионных соглашени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й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и соглашений ГЧП,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в соответствии с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фактической степенью готовности объектов и условиями соглашений.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 при формировании проекта областного бюджета Новосибирской области на 202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год и плановый период 202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и 202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7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годов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предусмотреть бюджетные ассигнования на 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строительств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 дома культуры в 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р.п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. Станционно-Ояшинский 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Мошковского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 района Новосибирской области на 202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5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-202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6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 годы</w:t>
      </w: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2.3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Рекомендовать министерству культуры Новосибирской области: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внести изменения в порядок про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ведения ремонта (капитального ремонта) учреждений культуры в рамках реализации мероприятий государственной программы Новосибирской области «Культура Новосибирской области» в части возможности реализации наказов избирателей депутатам Законодательного Собран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ия Новосибирской области, избранным от городских округов Новосибирской области, и представить соответствующую информацию по итогу рассмотрения данного вопроса в комитет по бюджетной, финансово-экономической политике и собственности. Срок – 31.07.2024 года;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представить в комитет по бюджетной, финансово-э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кономической политике и собственности список объектов организаций культуры, в котором указать информацию о наличии ПСД и сроке ее действия по каждому объекту в разрезе муниципальных районов и городским округов Новосибирской области. Срок – 27.04.2024 года.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4. 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Рекомендовать министерству жилищно-коммунального хозяйства и энергетики Новосибирской области: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представить в комитет по бюджетной, финансово-экономической политике и собственности информацию по имеющимся в министерстве заявкам по объектам ЖКХ,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которые будут запланированы министерством для включения в Закон Новосибирской области «Об областном бюджете Новосибирской области на 2024 год и плановый период 2025 и 2026 годов» при подготовке очередных изменений (июнь 2024 года). Срок – 20.05.2024 года;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при подготов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ке очередных изменений в Закон Новосибирской области «Об областном бюджете Новосибирской области на 2024 год и плановый период 2025 и 2026 годов» (июнь 2024 года) изыскать источники финансирования на разработку ПСД в 2024 году по строительству котельной в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Купинском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районе Новосибирской области в сумме 4 000,0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тыс.руб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 и на 2025 год в сумме 40 000,0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тыс.руб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 на строительство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 в целях предотвращения ситуаций по исключению из областного бюджета Новосибирской области объемов бюджетных ассигнований на ре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ализацию мероприятий по строительству и реконструкции объектов водоснабжения и водоотведения в случае возникновения объективных проблем по их освоению направлять высвобождаемые средства на реализацию иных объектов с высокой степенью готовности к реализации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в данной сфере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 направить в комитет информацию по объектам водоснабжения и водоотведения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в разрезе районов и городских округов Новосибирской области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запланирован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в Законе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«Об областном бюджете Новосибирской области на 2024 год и плановый период 2025 и 2026 годов» на 2025-2026 годы, которые можно перенести на 2024 год в целях освоения в полном объеме средств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по данному направлению. Срок – 19.04.2024 года.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Министерству экономического развития Новосибирской области представить в комитет по бюджетной, финансово-экономической политике и собственности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текущую информацию о работе по созданию особой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экономиче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ской зоны на территории, прилегающей к ПЛП (далее – ОЭЗ), включая информацию о потенциальных резидентах, новых инвестиционных проектах, преференциях, льготах участникам, предполагаемом экономическом, бюджетном эффекте от ее создания. Срок - 27.04.2024 года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2.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6. 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Комитету по бюджетной, финансово-экономической политике и собственности запланировать проведение заседания комитета на площадке ОЭЗ в целях рассмотрения вопросов,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связанных с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реализаци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ей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новых инвестиционных проектов, инфраструктурных проектов, реализуемых за счет инфраструктурных бюджетных кредитов, инвестиционн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ым фондом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Новосибирской области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проект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ами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в сфере ГЧП, концессий. Срок – по согласованию с министерством экономического развития Новосибирской области.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2.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7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Отметить информацию заместителя Председателя Правительства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Новосибирской области – министра финансов и налоговой политики Новосибирской области Голубенко В.Ю., что решения комитета по бюджетной, финансово-экономической политики и собственности от 20.03.2024 года по итогам проведения выездного заседания комитета в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Купинский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Карасукский,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Баганский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районы Новосибирской области на предмет их реализации будут рассмотрены Правительством Новосибирской области по итогам исполнения областного бюджета Новосибирской области на 2024 год и плановый период 2025 и 2026 годов за первое полугодие 2024 года.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</w:t>
      </w:r>
      <w:r>
        <w:rPr>
          <w:rFonts w:ascii="Times New Roman" w:hAnsi="Times New Roman" w:eastAsia="Calibri"/>
          <w:b/>
          <w:sz w:val="28"/>
          <w:szCs w:val="28"/>
        </w:rPr>
        <w:t xml:space="preserve">акон Новосибирской области «Об управлении и распоряжении государственной собственностью Новосибирской области», первое чтение. </w:t>
      </w:r>
      <w:r>
        <w:rPr>
          <w:rFonts w:ascii="Times New Roman" w:hAnsi="Times New Roman" w:eastAsia="Calibri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Франчук Д.В.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З</w:t>
      </w:r>
      <w:r>
        <w:rPr>
          <w:rFonts w:ascii="Times New Roman" w:hAnsi="Times New Roman" w:eastAsia="Calibri"/>
          <w:sz w:val="28"/>
          <w:szCs w:val="28"/>
        </w:rPr>
        <w:t xml:space="preserve">акон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его к принятию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первом</w:t>
      </w:r>
      <w:r>
        <w:rPr>
          <w:rFonts w:ascii="Times New Roman" w:hAnsi="Times New Roman" w:cs="Times New Roman"/>
          <w:sz w:val="28"/>
          <w:szCs w:val="28"/>
        </w:rPr>
        <w:t xml:space="preserve">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Предложить установить срок внесения поправок до 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 Реком</w:t>
      </w:r>
      <w:r>
        <w:rPr>
          <w:rFonts w:ascii="Times New Roman" w:hAnsi="Times New Roman" w:cs="Times New Roman"/>
          <w:sz w:val="28"/>
          <w:szCs w:val="28"/>
        </w:rPr>
        <w:t xml:space="preserve">ендовать департаменту имущества и земельных отношений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направить информацию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областного имущества Новосибирской области в безвозмездное пользование организациям федеральной почтовой связи для размещения объектов связи, </w:t>
      </w:r>
      <w:r>
        <w:rPr>
          <w:rFonts w:ascii="Times New Roman" w:hAnsi="Times New Roman" w:cs="Times New Roman"/>
          <w:sz w:val="28"/>
          <w:szCs w:val="28"/>
        </w:rPr>
        <w:t xml:space="preserve">в целях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депутатов Законодательного Собрания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перечень стратегических предприятий и стратегических акционерных обществ.</w:t>
      </w:r>
      <w:r>
        <w:rPr>
          <w:rFonts w:ascii="Times New Roman" w:hAnsi="Times New Roman" w:eastAsia="Calibri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Доклад: </w:t>
      </w:r>
      <w:r>
        <w:rPr>
          <w:rFonts w:ascii="Times New Roman" w:hAnsi="Times New Roman" w:eastAsia="Calibri"/>
          <w:sz w:val="28"/>
          <w:szCs w:val="28"/>
        </w:rPr>
        <w:t xml:space="preserve">Шилохвостов</w:t>
      </w:r>
      <w:r>
        <w:rPr>
          <w:rFonts w:ascii="Times New Roman" w:hAnsi="Times New Roman" w:eastAsia="Calibri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09"/>
        <w:shd w:val="clear" w:color="auto" w:fill="auto"/>
        <w:tabs>
          <w:tab w:val="left" w:pos="6765" w:leader="none"/>
        </w:tabs>
        <w:spacing w:before="0" w:after="0" w:line="336" w:lineRule="exact"/>
        <w:ind w:left="40" w:firstLine="669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4.1. </w:t>
      </w:r>
      <w:r>
        <w:rPr>
          <w:rFonts w:ascii="Times New Roman" w:hAnsi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Р.Г.</w:t>
      </w:r>
      <w:r>
        <w:rPr>
          <w:rFonts w:ascii="Times New Roman" w:hAnsi="Times New Roman"/>
          <w:sz w:val="28"/>
          <w:szCs w:val="28"/>
        </w:rPr>
        <w:t xml:space="preserve"> – руководител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департамента имущества и земельных отношений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вопросу «</w:t>
      </w:r>
      <w:r>
        <w:rPr>
          <w:rFonts w:ascii="Times New Roman" w:hAnsi="Times New Roman"/>
          <w:spacing w:val="0"/>
          <w:sz w:val="28"/>
          <w:szCs w:val="28"/>
        </w:rPr>
        <w:t xml:space="preserve">О проекте изменений в перечень стратегических предприятий и стр</w:t>
      </w:r>
      <w:r>
        <w:rPr>
          <w:rFonts w:ascii="Times New Roman" w:hAnsi="Times New Roman"/>
          <w:spacing w:val="0"/>
          <w:sz w:val="28"/>
          <w:szCs w:val="28"/>
        </w:rPr>
        <w:t xml:space="preserve">атегических акционерных обществ».</w:t>
      </w:r>
      <w:r>
        <w:rPr>
          <w:rFonts w:ascii="Times New Roman" w:hAnsi="Times New Roman"/>
          <w:spacing w:val="0"/>
          <w:sz w:val="28"/>
          <w:szCs w:val="28"/>
        </w:rPr>
      </w:r>
      <w:r>
        <w:rPr>
          <w:rFonts w:ascii="Times New Roman" w:hAnsi="Times New Roman"/>
          <w:spacing w:val="0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3 пункта 1 статьи 3 Закона Новосибирской области от 20 мая 2004 года № 181-ОЗ «О приватизации государственного имущества Новосибирской области» и на основании </w:t>
      </w:r>
      <w:hyperlink r:id="rId12" w:tooltip="https://login.consultant.ru/link/?req=doc&amp;base=RLAW049&amp;n=132693" w:history="1">
        <w:r>
          <w:rPr>
            <w:rFonts w:ascii="Times New Roman" w:hAnsi="Times New Roman" w:cs="Times New Roman"/>
            <w:sz w:val="28"/>
            <w:szCs w:val="28"/>
          </w:rPr>
          <w:t xml:space="preserve">распоряжения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5 марта 2024 года № 102-рп «О проекте изменений в перечень стратегических предприятий и стратегических акционерных обществ» в</w:t>
      </w:r>
      <w:r>
        <w:rPr>
          <w:rFonts w:ascii="Times New Roman" w:hAnsi="Times New Roman" w:cs="Times New Roman"/>
          <w:sz w:val="28"/>
          <w:szCs w:val="28"/>
        </w:rPr>
        <w:t xml:space="preserve">нести на рассмотрение сессии Законодательного Собрания Новосибирской области проект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Законодательного Собрания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«О внесении изменений в перечень стратегических предприятий и стратегических акционерных </w:t>
      </w:r>
      <w:r>
        <w:rPr>
          <w:rFonts w:ascii="Times New Roman" w:hAnsi="Times New Roman" w:cs="Times New Roman"/>
          <w:sz w:val="28"/>
          <w:szCs w:val="28"/>
        </w:rPr>
        <w:t xml:space="preserve">обществ» и рекомендовать его к утверждению.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2024-2026 годы.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Кальченко С.В., Шилохвостов Р.Г., Франчук Д.В., Колупаев А.В., Николаев Ф.А.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</w:rPr>
        <w:t xml:space="preserve"> Р.Г. – руководителя департамента имущества и земельных отношений Новосибирской области по вопросу «</w:t>
      </w:r>
      <w:r>
        <w:rPr>
          <w:rFonts w:ascii="Times New Roman" w:hAnsi="Times New Roman"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2024–2026 годы</w:t>
      </w:r>
      <w:r>
        <w:rPr>
          <w:rFonts w:ascii="Times New Roman" w:hAnsi="Times New Roman"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 В соответствии с подпунктом 2 пункта 1 статьи 3 Закона Новосибирской области от 20 мая 2004 года № 181-ОЗ «О приватизации государственного имущества Новосибирской области» и на основан</w:t>
      </w:r>
      <w:r>
        <w:rPr>
          <w:rFonts w:ascii="Times New Roman" w:hAnsi="Times New Roman" w:cs="Times New Roman"/>
          <w:sz w:val="28"/>
          <w:szCs w:val="28"/>
        </w:rPr>
        <w:t xml:space="preserve">ии распоряжения Правительства Новосибирской области от 9 апреля 2024 года № 172-рп «О проекте изменений в прогнозный план приватизации государственного имущества Новосибирской области на 2024-2026 годы» внести на рассмотрение сессии Законодательного Собран</w:t>
      </w:r>
      <w:r>
        <w:rPr>
          <w:rFonts w:ascii="Times New Roman" w:hAnsi="Times New Roman" w:cs="Times New Roman"/>
          <w:sz w:val="28"/>
          <w:szCs w:val="28"/>
        </w:rPr>
        <w:t xml:space="preserve">ия Новосибирской области проект постановления сессии Законодательного Собрания Новосибирской области «О внесении изменений в прогнозный план приватизации государственного имущества Новосибирской области на 2024-2026 годы» и рекомендовать его к утверждению.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6. </w:t>
      </w:r>
      <w:r>
        <w:rPr>
          <w:rFonts w:ascii="Times New Roman" w:hAnsi="Times New Roman"/>
          <w:b/>
          <w:sz w:val="28"/>
          <w:szCs w:val="28"/>
        </w:rPr>
        <w:t xml:space="preserve">О годовом отчете о деятельности Контрольно-счетной палаты Новосибирской области за 2023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.1. Предложить в проект повестки дня 44-ой сессии Законодательного Собрания Новосибирской области включить вопрос «О годовом отчете о деятельности Контрольно-счетной палаты Новосибирской области за 2023 год».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.2. Отметить высокое качество документов, подготовленных Контрольно-счетной палатой Новосибирской области по результ</w:t>
      </w:r>
      <w:r>
        <w:rPr>
          <w:rFonts w:ascii="Times New Roman" w:hAnsi="Times New Roman" w:cs="Times New Roman"/>
          <w:sz w:val="28"/>
          <w:szCs w:val="28"/>
        </w:rPr>
        <w:t xml:space="preserve">атам проведения контрольных и экспертно-аналитических мероприятий, а также высокий уровень взаимодействия Контрольно-счетной палаты Новосибирской области с Законодательным Собранием Новосибирской области по рассматриваемым законодательным органом вопросам.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.3. С учетом выводов и предложений Контрольно-счетной палаты Новосибирской обл</w:t>
      </w:r>
      <w:r>
        <w:rPr>
          <w:rFonts w:ascii="Times New Roman" w:hAnsi="Times New Roman" w:cs="Times New Roman"/>
          <w:sz w:val="28"/>
          <w:szCs w:val="28"/>
        </w:rPr>
        <w:t xml:space="preserve">асти, сделанных по результатам контроля, отметить следующие позитивные изменения в бюджетном процессе, управлении и распоряжении государственной собственностью, поддержке малого и среднего предпринимательства, снижении объемов незавершенного строительства: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своевременно разработан и внесен на утверждение проект прогнозного плана приватизации государственного имущества Новосибирской области, уточнена его структура, методика прогнозирования неналоговых доходов и практика индексации арендной платы;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утвержден порядок формирования и ведения областного реестра незавершенных объектов капитального строительства, а также порядок принятия управленческих решений в отношении таких объектов и координирующий орган при работе с ними;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проводится работа по сове</w:t>
      </w:r>
      <w:r>
        <w:rPr>
          <w:rFonts w:ascii="Times New Roman" w:hAnsi="Times New Roman" w:cs="Times New Roman"/>
          <w:sz w:val="28"/>
          <w:szCs w:val="28"/>
        </w:rPr>
        <w:t xml:space="preserve">ршенствованию порядка предоставления субсидий субъектам малого и среднего предпринимательства, методики распределения дотаций на выравнивание бюджетной обеспеченности и субсидии на реализацию мероприятий по обеспечению сбалансированности местных бюджетов;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осуществлен переход на новую систему управления государственными программами Новосибирской области, уточнены подходы к установлению уровней </w:t>
      </w:r>
      <w:r>
        <w:rPr>
          <w:rFonts w:ascii="Times New Roman" w:hAnsi="Times New Roman" w:cs="Times New Roman"/>
          <w:sz w:val="28"/>
          <w:szCs w:val="28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расходов местных бюджетов за счет субсидий из областного бюджета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внесены поправки в проекты областных законов в части уточнения дополнительных оснований внесения изменений в сводную бюджетную роспись.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.4. Выделить отдельные направления дальнейшей работы Контрольно-счетной палаты Новосибирской области, в том числе по обеспечению: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оптимизации документооборота при оформлении передачи государственного имущества Новосибирской области подведомственным и муниципальным учреждениям;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принятия дополнительных мер для завершения объектов капитального строительства и снижения объемов незавершенного строительства;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принятия мер для завершения строительства объектов в рамках государственно-частного партнерства, оптимизации расходов областного бюджета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актуализации приоритетных направлений научной, научно-технической и инновационной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продолжения реализации мер по повышению качества финансового менеджмента на областном и муниципальном уровне;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актуализации документов стратегического планирования, обеспечению прозрачности процедур разработки и реализации государственных программ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.5. Внести на рассмотрение 44-ой сессии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проект постановления Законодательного Собрания Новосибирской области «О годовом отчете о деятельности Контрольно-счетной палаты Новосибирской области за 2023 год»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Об обращении департамента молодежной политики Новосибирской области о согласовании передачи областного имущества в безвозмездное пользование региональному отделению Общероссийского движения детей и молодежи «Движение первых»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в части имущества, расположенного по адресу: г. Новосибирск, ул. Обская, 141 и ул. Советская, 52/2.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Федорчук</w:t>
      </w:r>
      <w:r>
        <w:rPr>
          <w:rFonts w:ascii="Times New Roman" w:hAnsi="Times New Roman"/>
          <w:sz w:val="28"/>
          <w:szCs w:val="28"/>
        </w:rPr>
        <w:t xml:space="preserve"> Сергей Владимирович – руководитель департамента молодежной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 Принять к сведению доклад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Федорчука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департамента по молодёжной политики Новосибирской области </w:t>
      </w:r>
      <w:r>
        <w:rPr>
          <w:rFonts w:ascii="Times New Roman" w:hAnsi="Times New Roman"/>
          <w:bCs/>
          <w:sz w:val="28"/>
          <w:szCs w:val="28"/>
        </w:rPr>
        <w:t xml:space="preserve">о передаче областного имущества в безвозмездное пользование.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В целях содействия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в осуществлении уставной деятельности регионального отделения </w:t>
      </w:r>
      <w:r>
        <w:rPr>
          <w:rFonts w:ascii="Times New Roman" w:hAnsi="Times New Roman"/>
          <w:sz w:val="28"/>
          <w:szCs w:val="28"/>
        </w:rPr>
        <w:t xml:space="preserve">Общероссийского движения детей и молодежи «Движение первых» Новосибирской области 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и обеспечения исполнения Федерального закона Российской Федерации от 14.07.2022 № 261-ФЗ «О российском движении детей и молодежи»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,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с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учётом положительн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ого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решени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я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комитета </w:t>
      </w:r>
      <w:r>
        <w:rPr>
          <w:rStyle w:val="101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культуре, образованию, науке, спорту и молодежной </w:t>
      </w:r>
      <w:r>
        <w:rPr>
          <w:rFonts w:ascii="Times New Roman" w:hAnsi="Times New Roman" w:cs="Times New Roman"/>
          <w:sz w:val="28"/>
          <w:szCs w:val="28"/>
        </w:rPr>
        <w:t xml:space="preserve">политике согласиться с передачей </w:t>
      </w:r>
      <w:r>
        <w:rPr>
          <w:rFonts w:ascii="Times New Roman" w:hAnsi="Times New Roman"/>
          <w:sz w:val="28"/>
          <w:szCs w:val="28"/>
        </w:rPr>
        <w:t xml:space="preserve">в безвозмездное </w:t>
      </w:r>
      <w:r>
        <w:rPr>
          <w:rFonts w:ascii="Times New Roman" w:hAnsi="Times New Roman"/>
          <w:sz w:val="28"/>
          <w:szCs w:val="28"/>
        </w:rPr>
        <w:t xml:space="preserve">пользование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имущества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принадлежащего на праве оперативного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Style w:val="100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ГБУ НСО «Агентство поддержки молодежных инициатив»,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егиональному</w:t>
      </w:r>
      <w:r>
        <w:rPr>
          <w:rFonts w:ascii="Times New Roman" w:hAnsi="Times New Roman" w:cs="Times New Roman"/>
          <w:sz w:val="28"/>
          <w:szCs w:val="28"/>
        </w:rPr>
        <w:t xml:space="preserve"> отд</w:t>
      </w:r>
      <w:r>
        <w:rPr>
          <w:rFonts w:ascii="Times New Roman" w:hAnsi="Times New Roman" w:cs="Times New Roman"/>
          <w:sz w:val="28"/>
          <w:szCs w:val="28"/>
        </w:rPr>
        <w:t xml:space="preserve">елению Общероссийского общественно-государственного движения детей и молодежи «Движение первых» Новосибирской област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неопределенный срок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</w:t>
      </w:r>
      <w:r>
        <w:rPr>
          <w:rFonts w:ascii="Times New Roman" w:hAnsi="Times New Roman" w:cs="Times New Roman"/>
          <w:sz w:val="28"/>
          <w:szCs w:val="28"/>
        </w:rPr>
        <w:t xml:space="preserve"> нежилого помещения площадью 71,6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., расположенного на в</w:t>
      </w:r>
      <w:r>
        <w:rPr>
          <w:rFonts w:ascii="Times New Roman" w:hAnsi="Times New Roman" w:cs="Times New Roman"/>
          <w:sz w:val="28"/>
          <w:szCs w:val="28"/>
        </w:rPr>
        <w:t xml:space="preserve">тором этаже </w:t>
      </w:r>
      <w:r>
        <w:rPr>
          <w:rFonts w:ascii="Times New Roman" w:hAnsi="Times New Roman" w:cs="Times New Roman"/>
          <w:sz w:val="28"/>
          <w:szCs w:val="28"/>
        </w:rPr>
        <w:t xml:space="preserve">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100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с кадастровым номером: 54:35:074425:71</w:t>
      </w:r>
      <w:r>
        <w:rPr>
          <w:rStyle w:val="1000"/>
          <w:rFonts w:ascii="Times New Roman" w:hAnsi="Times New Roman" w:cs="Times New Roman"/>
          <w:color w:val="000000"/>
          <w:sz w:val="28"/>
          <w:szCs w:val="28"/>
          <w:lang w:val="ru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адресу: г.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Новосибирск, ул. Обская, 141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нежилого помещения </w:t>
      </w:r>
      <w:r>
        <w:rPr>
          <w:rFonts w:ascii="Times New Roman" w:hAnsi="Times New Roman" w:cs="Times New Roman"/>
          <w:sz w:val="28"/>
          <w:szCs w:val="28"/>
        </w:rPr>
        <w:t xml:space="preserve">площадью 94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., расположенного</w:t>
      </w:r>
      <w:r>
        <w:rPr>
          <w:rFonts w:ascii="Times New Roman" w:hAnsi="Times New Roman" w:cs="Times New Roman"/>
          <w:sz w:val="28"/>
          <w:szCs w:val="28"/>
        </w:rPr>
        <w:t xml:space="preserve"> на первом этаже здания по адресу: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Новосибирск, ул. Советская, 52/2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(части нежилого помещения с кадастровым номером: 54:35:101100:1207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7.3. 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екомендовать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епартаменту молодёжной политики Новосибирской области проработать вопрос об учреждении награды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за вклад в добровольческое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undefined"/>
      <w:r>
        <w:rPr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(волонтерское)</w:t>
      </w:r>
      <w:r>
        <w:rPr>
          <w:rFonts w:ascii="Times New Roman" w:hAnsi="Times New Roman" w:cs="Times New Roman"/>
          <w:sz w:val="28"/>
          <w:szCs w:val="28"/>
        </w:rPr>
        <w:t xml:space="preserve"> движение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стимулирования и поощрения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</w:rPr>
        <w:t xml:space="preserve">(волонтерс</w:t>
      </w:r>
      <w:r>
        <w:rPr>
          <w:rFonts w:ascii="Times New Roman" w:hAnsi="Times New Roman" w:cs="Times New Roman"/>
          <w:sz w:val="28"/>
          <w:szCs w:val="28"/>
        </w:rPr>
        <w:t xml:space="preserve">кой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докладе о деятельности Уполномоченного по защите прав предпринимателей в Новосибирской области за 2023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Мамулат</w:t>
      </w:r>
      <w:r>
        <w:rPr>
          <w:rFonts w:ascii="Times New Roman" w:hAnsi="Times New Roman"/>
          <w:sz w:val="28"/>
          <w:szCs w:val="28"/>
        </w:rPr>
        <w:t xml:space="preserve">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Червов Д.В., Диденко И.В.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Мамулата</w:t>
      </w:r>
      <w:r>
        <w:rPr>
          <w:rFonts w:ascii="Times New Roman" w:hAnsi="Times New Roman" w:cs="Times New Roman"/>
          <w:sz w:val="28"/>
          <w:szCs w:val="28"/>
        </w:rPr>
        <w:t xml:space="preserve"> Н.Е. – Уполномоченного по защите прав предпринимателей в Новосибирской области о деятельности Уполномоченного по защите прав предпринимателей в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Высоко оценить</w:t>
      </w:r>
      <w:r>
        <w:rPr>
          <w:rFonts w:ascii="Times New Roman" w:hAnsi="Times New Roman" w:cs="Times New Roman"/>
          <w:sz w:val="28"/>
          <w:szCs w:val="28"/>
        </w:rPr>
        <w:t xml:space="preserve"> уровень вы</w:t>
      </w:r>
      <w:r>
        <w:rPr>
          <w:rFonts w:ascii="Times New Roman" w:hAnsi="Times New Roman" w:cs="Times New Roman"/>
          <w:sz w:val="28"/>
          <w:szCs w:val="28"/>
        </w:rPr>
        <w:t xml:space="preserve">полнения задач Уполномоченным по защите прав предпринимателей в Новосибирской области в 2023 году по поддержке субъектов предпринимательской деятельности в условиях адаптации к новым внешним и внутренним условиям экономики</w:t>
      </w:r>
      <w:r>
        <w:rPr>
          <w:rFonts w:ascii="Times New Roman" w:hAnsi="Times New Roman" w:cs="Times New Roman"/>
          <w:sz w:val="28"/>
          <w:szCs w:val="28"/>
        </w:rPr>
        <w:t xml:space="preserve">, а также</w:t>
      </w:r>
      <w:r>
        <w:rPr>
          <w:rFonts w:ascii="Times New Roman" w:hAnsi="Times New Roman" w:cs="Times New Roman"/>
          <w:sz w:val="28"/>
          <w:szCs w:val="28"/>
        </w:rPr>
        <w:t xml:space="preserve"> активное взаимодействие с органами государственной власти по выработке системных мер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на повышение</w:t>
      </w:r>
      <w:r>
        <w:rPr>
          <w:rFonts w:ascii="Times New Roman" w:hAnsi="Times New Roman" w:cs="Times New Roman"/>
          <w:sz w:val="28"/>
          <w:szCs w:val="28"/>
        </w:rPr>
        <w:t xml:space="preserve"> эффективности защиты прав и законных интересов предпринимателей, осуществляющих свою деятельность в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.3.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постановления Законодательного Собрания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ежегодном</w:t>
      </w:r>
      <w:r>
        <w:rPr>
          <w:rFonts w:ascii="Times New Roman" w:hAnsi="Times New Roman"/>
          <w:sz w:val="28"/>
          <w:szCs w:val="28"/>
        </w:rPr>
        <w:t xml:space="preserve"> докладе о деятельности Уполномоченного по защите прав предпринимателей в Новосибирской области за 202</w:t>
      </w:r>
      <w:r>
        <w:rPr>
          <w:rFonts w:ascii="Times New Roman" w:hAnsi="Times New Roman"/>
          <w:sz w:val="28"/>
          <w:szCs w:val="28"/>
        </w:rPr>
        <w:t xml:space="preserve">3 год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награждении.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101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достигнутые успехи в учебно-воспитательной деятельности, высочайший профессионализм и в связи с 65-летием со дня основания муниципального автономного общеобразовательного учреждения г. Новосибирска «Гимназия № 14 – образовательный центр «</w:t>
      </w:r>
      <w:r>
        <w:rPr>
          <w:rFonts w:ascii="Times New Roman" w:hAnsi="Times New Roman" w:cs="Times New Roman"/>
          <w:sz w:val="28"/>
          <w:szCs w:val="28"/>
        </w:rPr>
        <w:t xml:space="preserve">Универсарий</w:t>
      </w:r>
      <w:r>
        <w:rPr>
          <w:rFonts w:ascii="Times New Roman" w:hAnsi="Times New Roman" w:cs="Times New Roman"/>
          <w:sz w:val="28"/>
          <w:szCs w:val="28"/>
        </w:rPr>
        <w:t xml:space="preserve">» ходатайствовать о награждении медалью Законодательного Собрания Новосибирской области «Общественное признание» Гюнтер Оксаны Юрьевны – учителя начальных классов МАОУ г. Новосибирска «Гимназия № 14 – образовательный центр «</w:t>
      </w:r>
      <w:r>
        <w:rPr>
          <w:rFonts w:ascii="Times New Roman" w:hAnsi="Times New Roman" w:cs="Times New Roman"/>
          <w:sz w:val="28"/>
          <w:szCs w:val="28"/>
        </w:rPr>
        <w:t xml:space="preserve">Универсарий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17 апреля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Васильева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Татьяна Николаевна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заместитель министра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Деев Владимир Геннадьевич – заместитель министра культуры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Калентьева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Колупаев Александр Валерьевич – заместитель министра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Кошкина </w:t>
      </w:r>
      <w:r>
        <w:rPr>
          <w:rFonts w:ascii="Times New Roman" w:hAnsi="Times New Roman"/>
          <w:sz w:val="28"/>
          <w:szCs w:val="28"/>
          <w:highlight w:val="none"/>
        </w:rPr>
        <w:t xml:space="preserve">Анна Александровна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начальник отдела государственного долга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министерства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Роман Вячеславович, начальник управления экономики </w:t>
      </w:r>
      <w:r>
        <w:rPr>
          <w:rFonts w:ascii="Times New Roman" w:hAnsi="Times New Roman"/>
          <w:sz w:val="28"/>
          <w:szCs w:val="28"/>
        </w:rPr>
        <w:t xml:space="preserve">министерства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Курицина </w:t>
      </w:r>
      <w:r>
        <w:rPr>
          <w:rFonts w:ascii="Times New Roman" w:hAnsi="Times New Roman"/>
          <w:sz w:val="28"/>
          <w:szCs w:val="28"/>
          <w:highlight w:val="none"/>
        </w:rPr>
        <w:t xml:space="preserve">Елена Викторовна</w:t>
      </w:r>
      <w:r>
        <w:rPr>
          <w:rFonts w:ascii="Times New Roman" w:hAnsi="Times New Roman"/>
          <w:sz w:val="28"/>
          <w:szCs w:val="28"/>
          <w:highlight w:val="none"/>
        </w:rPr>
        <w:t xml:space="preserve">, и.о. начальника управления бюджетного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планирования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министерства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Литвинов 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Денис Григорьеви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консультант управления прогнозирования доходов и налоговой 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министерства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Мамулат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Миллер  Игорь Владимирович – и.о. министра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Мордина Ольга Александровна - советник </w:t>
      </w:r>
      <w:r>
        <w:rPr>
          <w:rFonts w:ascii="Times New Roman" w:hAnsi="Times New Roman"/>
          <w:sz w:val="28"/>
          <w:szCs w:val="28"/>
        </w:rPr>
        <w:t xml:space="preserve">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Москалева Екатерина Михайловна</w:t>
      </w:r>
      <w:r>
        <w:rPr>
          <w:rFonts w:ascii="Times New Roman" w:hAnsi="Times New Roman"/>
          <w:sz w:val="28"/>
          <w:szCs w:val="28"/>
        </w:rPr>
        <w:t xml:space="preserve"> – и.о министра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Назаров Евгений Геннальевич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Николаева </w:t>
      </w:r>
      <w:r>
        <w:rPr>
          <w:rFonts w:ascii="Times New Roman" w:hAnsi="Times New Roman"/>
          <w:sz w:val="28"/>
          <w:szCs w:val="28"/>
          <w:highlight w:val="none"/>
        </w:rPr>
        <w:t xml:space="preserve">Галина Александровна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начальник управления прогнозирования доходов и налоговой политики</w:t>
      </w:r>
      <w:r>
        <w:rPr>
          <w:rFonts w:ascii="Times New Roman" w:hAnsi="Times New Roman"/>
          <w:sz w:val="28"/>
          <w:szCs w:val="28"/>
        </w:rPr>
        <w:t xml:space="preserve"> министерства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Павлов Евгений Евгеньевич</w:t>
      </w:r>
      <w:r>
        <w:rPr>
          <w:rFonts w:ascii="Times New Roman" w:hAnsi="Times New Roman"/>
          <w:bCs/>
          <w:sz w:val="28"/>
          <w:szCs w:val="28"/>
        </w:rPr>
        <w:t xml:space="preserve"> – заместитель министра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Подковырин Павел Викторович – и.о.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Савостьянов Юрий Иванович</w:t>
      </w:r>
      <w:r>
        <w:rPr>
          <w:rFonts w:ascii="Times New Roman" w:hAnsi="Times New Roman"/>
          <w:sz w:val="28"/>
          <w:szCs w:val="28"/>
        </w:rPr>
        <w:t xml:space="preserve"> – и.о. министра об</w:t>
      </w:r>
      <w:r>
        <w:rPr>
          <w:rFonts w:ascii="Times New Roman" w:hAnsi="Times New Roman"/>
          <w:sz w:val="28"/>
          <w:szCs w:val="28"/>
        </w:rPr>
        <w:t xml:space="preserve">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</w:t>
      </w:r>
      <w:r>
        <w:rPr>
          <w:rFonts w:ascii="Times New Roman" w:hAnsi="Times New Roman"/>
          <w:sz w:val="28"/>
          <w:szCs w:val="28"/>
          <w:highlight w:val="white"/>
        </w:rPr>
        <w:t xml:space="preserve">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Федорчук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Сергей Владимиро</w:t>
      </w:r>
      <w:r>
        <w:rPr>
          <w:rFonts w:ascii="Times New Roman" w:hAnsi="Times New Roman"/>
          <w:sz w:val="28"/>
          <w:szCs w:val="28"/>
        </w:rPr>
        <w:t xml:space="preserve">вич – </w:t>
      </w:r>
      <w:r>
        <w:rPr>
          <w:rFonts w:ascii="Times New Roman" w:hAnsi="Times New Roman"/>
          <w:sz w:val="28"/>
          <w:szCs w:val="28"/>
        </w:rPr>
        <w:t xml:space="preserve">руководитель департамента молодежной политики</w:t>
      </w:r>
      <w:r>
        <w:rPr>
          <w:rFonts w:ascii="Times New Roman" w:hAnsi="Times New Roman"/>
          <w:sz w:val="28"/>
          <w:szCs w:val="28"/>
        </w:rPr>
        <w:t xml:space="preserve">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21"/>
        <w:numPr>
          <w:numId w:val="50"/>
          <w:ilvl w:val="0"/>
        </w:numPr>
        <w:spacing w:after="0" w:line="240" w:lineRule="auto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Шимкив Андрей Иванович – Председатель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720" w:leader="none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440" w:leader="none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tabs>
          <w:tab w:val="num" w:pos="2880" w:leader="none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tabs>
          <w:tab w:val="num" w:pos="3600" w:leader="none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tabs>
          <w:tab w:val="num" w:pos="5040" w:leader="none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tabs>
          <w:tab w:val="num" w:pos="5760" w:leader="none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ascii="Times New Roman" w:hAnsi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5"/>
        <w:szCs w:val="25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3"/>
  </w:num>
  <w:num w:numId="2">
    <w:abstractNumId w:val="34"/>
  </w:num>
  <w:num w:numId="3">
    <w:abstractNumId w:val="28"/>
  </w:num>
  <w:num w:numId="4">
    <w:abstractNumId w:val="11"/>
  </w:num>
  <w:num w:numId="5">
    <w:abstractNumId w:val="47"/>
  </w:num>
  <w:num w:numId="6">
    <w:abstractNumId w:val="46"/>
  </w:num>
  <w:num w:numId="7">
    <w:abstractNumId w:val="31"/>
  </w:num>
  <w:num w:numId="8">
    <w:abstractNumId w:val="21"/>
  </w:num>
  <w:num w:numId="9">
    <w:abstractNumId w:val="23"/>
  </w:num>
  <w:num w:numId="10">
    <w:abstractNumId w:val="37"/>
  </w:num>
  <w:num w:numId="11">
    <w:abstractNumId w:val="35"/>
  </w:num>
  <w:num w:numId="12">
    <w:abstractNumId w:val="17"/>
  </w:num>
  <w:num w:numId="13">
    <w:abstractNumId w:val="27"/>
  </w:num>
  <w:num w:numId="14">
    <w:abstractNumId w:val="6"/>
  </w:num>
  <w:num w:numId="15">
    <w:abstractNumId w:val="2"/>
  </w:num>
  <w:num w:numId="16">
    <w:abstractNumId w:val="41"/>
  </w:num>
  <w:num w:numId="17">
    <w:abstractNumId w:val="40"/>
  </w:num>
  <w:num w:numId="18">
    <w:abstractNumId w:val="3"/>
  </w:num>
  <w:num w:numId="19">
    <w:abstractNumId w:val="20"/>
  </w:num>
  <w:num w:numId="20">
    <w:abstractNumId w:val="33"/>
  </w:num>
  <w:num w:numId="21">
    <w:abstractNumId w:val="32"/>
  </w:num>
  <w:num w:numId="22">
    <w:abstractNumId w:val="8"/>
  </w:num>
  <w:num w:numId="23">
    <w:abstractNumId w:val="24"/>
  </w:num>
  <w:num w:numId="24">
    <w:abstractNumId w:val="10"/>
  </w:num>
  <w:num w:numId="25">
    <w:abstractNumId w:val="29"/>
  </w:num>
  <w:num w:numId="26">
    <w:abstractNumId w:val="42"/>
  </w:num>
  <w:num w:numId="27">
    <w:abstractNumId w:val="25"/>
  </w:num>
  <w:num w:numId="28">
    <w:abstractNumId w:val="36"/>
  </w:num>
  <w:num w:numId="29">
    <w:abstractNumId w:val="44"/>
  </w:num>
  <w:num w:numId="30">
    <w:abstractNumId w:val="15"/>
  </w:num>
  <w:num w:numId="31">
    <w:abstractNumId w:val="48"/>
  </w:num>
  <w:num w:numId="32">
    <w:abstractNumId w:val="26"/>
  </w:num>
  <w:num w:numId="33">
    <w:abstractNumId w:val="30"/>
  </w:num>
  <w:num w:numId="34">
    <w:abstractNumId w:val="9"/>
  </w:num>
  <w:num w:numId="35">
    <w:abstractNumId w:val="4"/>
  </w:num>
  <w:num w:numId="36">
    <w:abstractNumId w:val="14"/>
  </w:num>
  <w:num w:numId="37">
    <w:abstractNumId w:val="38"/>
  </w:num>
  <w:num w:numId="38">
    <w:abstractNumId w:val="5"/>
  </w:num>
  <w:num w:numId="39">
    <w:abstractNumId w:val="19"/>
  </w:num>
  <w:num w:numId="40">
    <w:abstractNumId w:val="18"/>
  </w:num>
  <w:num w:numId="41">
    <w:abstractNumId w:val="16"/>
  </w:num>
  <w:num w:numId="42">
    <w:abstractNumId w:val="7"/>
  </w:num>
  <w:num w:numId="43">
    <w:abstractNumId w:val="1"/>
  </w:num>
  <w:num w:numId="44">
    <w:abstractNumId w:val="0"/>
  </w:num>
  <w:num w:numId="45">
    <w:abstractNumId w:val="13"/>
  </w:num>
  <w:num w:numId="46">
    <w:abstractNumId w:val="39"/>
  </w:num>
  <w:num w:numId="47">
    <w:abstractNumId w:val="12"/>
  </w:num>
  <w:num w:numId="48">
    <w:abstractNumId w:val="22"/>
  </w:num>
  <w:num w:numId="49">
    <w:abstractNumId w:val="45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6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87">
    <w:name w:val="Heading 1"/>
    <w:basedOn w:val="786"/>
    <w:next w:val="786"/>
    <w:link w:val="980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8"/>
      <w:szCs w:val="28"/>
    </w:rPr>
  </w:style>
  <w:style w:type="paragraph" w:styleId="788">
    <w:name w:val="Heading 2"/>
    <w:basedOn w:val="786"/>
    <w:next w:val="786"/>
    <w:link w:val="981"/>
    <w:uiPriority w:val="99"/>
    <w:qFormat/>
    <w:pPr>
      <w:keepNext/>
      <w:shd w:val="clear" w:color="auto" w:fill="ffffff"/>
      <w:spacing w:after="0" w:line="240" w:lineRule="auto"/>
      <w:jc w:val="center"/>
      <w:outlineLvl w:val="1"/>
    </w:pPr>
    <w:rPr>
      <w:b/>
      <w:bCs/>
      <w:color w:val="000000"/>
      <w:sz w:val="26"/>
      <w:szCs w:val="26"/>
    </w:rPr>
  </w:style>
  <w:style w:type="paragraph" w:styleId="789">
    <w:name w:val="Heading 3"/>
    <w:basedOn w:val="786"/>
    <w:next w:val="786"/>
    <w:link w:val="814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90">
    <w:name w:val="Heading 4"/>
    <w:basedOn w:val="786"/>
    <w:next w:val="786"/>
    <w:link w:val="815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1">
    <w:name w:val="Heading 5"/>
    <w:basedOn w:val="786"/>
    <w:next w:val="786"/>
    <w:link w:val="816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2">
    <w:name w:val="Heading 6"/>
    <w:basedOn w:val="786"/>
    <w:next w:val="786"/>
    <w:link w:val="817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93">
    <w:name w:val="Heading 7"/>
    <w:basedOn w:val="786"/>
    <w:next w:val="786"/>
    <w:link w:val="818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4">
    <w:name w:val="Heading 8"/>
    <w:basedOn w:val="786"/>
    <w:next w:val="786"/>
    <w:link w:val="819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795">
    <w:name w:val="Heading 9"/>
    <w:basedOn w:val="786"/>
    <w:next w:val="786"/>
    <w:link w:val="82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6" w:default="1">
    <w:name w:val="Default Paragraph Font"/>
    <w:uiPriority w:val="1"/>
    <w:semiHidden/>
    <w:unhideWhenUsed/>
  </w:style>
  <w:style w:type="table" w:styleId="7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8" w:default="1">
    <w:name w:val="No List"/>
    <w:uiPriority w:val="99"/>
    <w:semiHidden/>
    <w:unhideWhenUsed/>
  </w:style>
  <w:style w:type="character" w:styleId="799" w:customStyle="1">
    <w:name w:val="Heading 3 Char"/>
    <w:basedOn w:val="796"/>
    <w:uiPriority w:val="9"/>
    <w:rPr>
      <w:rFonts w:ascii="Arial" w:hAnsi="Arial" w:eastAsia="Arial" w:cs="Arial"/>
      <w:sz w:val="30"/>
      <w:szCs w:val="30"/>
    </w:rPr>
  </w:style>
  <w:style w:type="character" w:styleId="800" w:customStyle="1">
    <w:name w:val="Heading 4 Char"/>
    <w:basedOn w:val="796"/>
    <w:uiPriority w:val="9"/>
    <w:rPr>
      <w:rFonts w:ascii="Arial" w:hAnsi="Arial" w:eastAsia="Arial" w:cs="Arial"/>
      <w:b/>
      <w:bCs/>
      <w:sz w:val="26"/>
      <w:szCs w:val="26"/>
    </w:rPr>
  </w:style>
  <w:style w:type="character" w:styleId="801" w:customStyle="1">
    <w:name w:val="Heading 5 Char"/>
    <w:basedOn w:val="796"/>
    <w:uiPriority w:val="9"/>
    <w:rPr>
      <w:rFonts w:ascii="Arial" w:hAnsi="Arial" w:eastAsia="Arial" w:cs="Arial"/>
      <w:b/>
      <w:bCs/>
      <w:sz w:val="24"/>
      <w:szCs w:val="24"/>
    </w:rPr>
  </w:style>
  <w:style w:type="character" w:styleId="802" w:customStyle="1">
    <w:name w:val="Heading 6 Char"/>
    <w:basedOn w:val="796"/>
    <w:uiPriority w:val="9"/>
    <w:rPr>
      <w:rFonts w:ascii="Arial" w:hAnsi="Arial" w:eastAsia="Arial" w:cs="Arial"/>
      <w:b/>
      <w:bCs/>
      <w:sz w:val="22"/>
      <w:szCs w:val="22"/>
    </w:rPr>
  </w:style>
  <w:style w:type="character" w:styleId="803" w:customStyle="1">
    <w:name w:val="Heading 7 Char"/>
    <w:basedOn w:val="7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4" w:customStyle="1">
    <w:name w:val="Heading 8 Char"/>
    <w:basedOn w:val="796"/>
    <w:uiPriority w:val="9"/>
    <w:rPr>
      <w:rFonts w:ascii="Arial" w:hAnsi="Arial" w:eastAsia="Arial" w:cs="Arial"/>
      <w:i/>
      <w:iCs/>
      <w:sz w:val="22"/>
      <w:szCs w:val="22"/>
    </w:rPr>
  </w:style>
  <w:style w:type="character" w:styleId="805" w:customStyle="1">
    <w:name w:val="Heading 9 Char"/>
    <w:basedOn w:val="796"/>
    <w:uiPriority w:val="9"/>
    <w:rPr>
      <w:rFonts w:ascii="Arial" w:hAnsi="Arial" w:eastAsia="Arial" w:cs="Arial"/>
      <w:i/>
      <w:iCs/>
      <w:sz w:val="21"/>
      <w:szCs w:val="21"/>
    </w:rPr>
  </w:style>
  <w:style w:type="character" w:styleId="806" w:customStyle="1">
    <w:name w:val="Title Char"/>
    <w:basedOn w:val="796"/>
    <w:uiPriority w:val="10"/>
    <w:rPr>
      <w:sz w:val="48"/>
      <w:szCs w:val="48"/>
    </w:rPr>
  </w:style>
  <w:style w:type="character" w:styleId="807" w:customStyle="1">
    <w:name w:val="Subtitle Char"/>
    <w:basedOn w:val="796"/>
    <w:uiPriority w:val="11"/>
    <w:rPr>
      <w:sz w:val="24"/>
      <w:szCs w:val="24"/>
    </w:rPr>
  </w:style>
  <w:style w:type="character" w:styleId="808" w:customStyle="1">
    <w:name w:val="Quote Char"/>
    <w:uiPriority w:val="29"/>
    <w:rPr>
      <w:i/>
    </w:rPr>
  </w:style>
  <w:style w:type="character" w:styleId="809" w:customStyle="1">
    <w:name w:val="Intense Quote Char"/>
    <w:uiPriority w:val="30"/>
    <w:rPr>
      <w:i/>
    </w:rPr>
  </w:style>
  <w:style w:type="character" w:styleId="810" w:customStyle="1">
    <w:name w:val="Footnote Text Char"/>
    <w:uiPriority w:val="99"/>
    <w:rPr>
      <w:sz w:val="18"/>
    </w:rPr>
  </w:style>
  <w:style w:type="character" w:styleId="811" w:customStyle="1">
    <w:name w:val="Endnote Text Char"/>
    <w:uiPriority w:val="99"/>
    <w:rPr>
      <w:sz w:val="20"/>
    </w:rPr>
  </w:style>
  <w:style w:type="character" w:styleId="81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13" w:customStyle="1">
    <w:name w:val="Heading 2 Char"/>
    <w:uiPriority w:val="9"/>
    <w:rPr>
      <w:rFonts w:ascii="Arial" w:hAnsi="Arial" w:eastAsia="Arial" w:cs="Arial"/>
      <w:sz w:val="34"/>
    </w:rPr>
  </w:style>
  <w:style w:type="character" w:styleId="814" w:customStyle="1">
    <w:name w:val="Заголовок 3 Знак"/>
    <w:link w:val="789"/>
    <w:uiPriority w:val="9"/>
    <w:rPr>
      <w:rFonts w:ascii="Arial" w:hAnsi="Arial" w:eastAsia="Arial" w:cs="Arial"/>
      <w:sz w:val="30"/>
      <w:szCs w:val="30"/>
    </w:rPr>
  </w:style>
  <w:style w:type="character" w:styleId="815" w:customStyle="1">
    <w:name w:val="Заголовок 4 Знак"/>
    <w:link w:val="790"/>
    <w:uiPriority w:val="9"/>
    <w:rPr>
      <w:rFonts w:ascii="Arial" w:hAnsi="Arial" w:eastAsia="Arial" w:cs="Arial"/>
      <w:b/>
      <w:bCs/>
      <w:sz w:val="26"/>
      <w:szCs w:val="26"/>
    </w:rPr>
  </w:style>
  <w:style w:type="character" w:styleId="816" w:customStyle="1">
    <w:name w:val="Заголовок 5 Знак"/>
    <w:link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817" w:customStyle="1">
    <w:name w:val="Заголовок 6 Знак"/>
    <w:link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818" w:customStyle="1">
    <w:name w:val="Заголовок 7 Знак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9" w:customStyle="1">
    <w:name w:val="Заголовок 8 Знак"/>
    <w:link w:val="794"/>
    <w:uiPriority w:val="9"/>
    <w:rPr>
      <w:rFonts w:ascii="Arial" w:hAnsi="Arial" w:eastAsia="Arial" w:cs="Arial"/>
      <w:i/>
      <w:iCs/>
      <w:sz w:val="22"/>
      <w:szCs w:val="22"/>
    </w:rPr>
  </w:style>
  <w:style w:type="character" w:styleId="820" w:customStyle="1">
    <w:name w:val="Заголовок 9 Знак"/>
    <w:link w:val="795"/>
    <w:uiPriority w:val="9"/>
    <w:rPr>
      <w:rFonts w:ascii="Arial" w:hAnsi="Arial" w:eastAsia="Arial" w:cs="Arial"/>
      <w:i/>
      <w:iCs/>
      <w:sz w:val="21"/>
      <w:szCs w:val="21"/>
    </w:rPr>
  </w:style>
  <w:style w:type="paragraph" w:styleId="821">
    <w:name w:val="List Paragraph"/>
    <w:basedOn w:val="786"/>
    <w:uiPriority w:val="34"/>
    <w:qFormat/>
    <w:pPr>
      <w:ind w:left="720"/>
      <w:contextualSpacing/>
    </w:pPr>
  </w:style>
  <w:style w:type="paragraph" w:styleId="822">
    <w:name w:val="No Spacing"/>
    <w:uiPriority w:val="1"/>
    <w:qFormat/>
  </w:style>
  <w:style w:type="paragraph" w:styleId="823">
    <w:name w:val="Title"/>
    <w:basedOn w:val="786"/>
    <w:next w:val="786"/>
    <w:link w:val="824"/>
    <w:uiPriority w:val="10"/>
    <w:qFormat/>
    <w:pPr>
      <w:spacing w:before="300"/>
      <w:contextualSpacing/>
    </w:pPr>
    <w:rPr>
      <w:sz w:val="48"/>
      <w:szCs w:val="48"/>
    </w:rPr>
  </w:style>
  <w:style w:type="character" w:styleId="824" w:customStyle="1">
    <w:name w:val="Заголовок Знак1"/>
    <w:link w:val="823"/>
    <w:uiPriority w:val="10"/>
    <w:rPr>
      <w:sz w:val="48"/>
      <w:szCs w:val="48"/>
    </w:rPr>
  </w:style>
  <w:style w:type="paragraph" w:styleId="825">
    <w:name w:val="Subtitle"/>
    <w:basedOn w:val="786"/>
    <w:next w:val="786"/>
    <w:link w:val="826"/>
    <w:uiPriority w:val="11"/>
    <w:qFormat/>
    <w:pPr>
      <w:spacing w:before="200"/>
    </w:pPr>
    <w:rPr>
      <w:sz w:val="24"/>
      <w:szCs w:val="24"/>
    </w:rPr>
  </w:style>
  <w:style w:type="character" w:styleId="826" w:customStyle="1">
    <w:name w:val="Подзаголовок Знак"/>
    <w:link w:val="825"/>
    <w:uiPriority w:val="11"/>
    <w:rPr>
      <w:sz w:val="24"/>
      <w:szCs w:val="24"/>
    </w:rPr>
  </w:style>
  <w:style w:type="paragraph" w:styleId="827">
    <w:name w:val="Quote"/>
    <w:basedOn w:val="786"/>
    <w:next w:val="786"/>
    <w:link w:val="828"/>
    <w:uiPriority w:val="29"/>
    <w:qFormat/>
    <w:pPr>
      <w:ind w:left="720" w:right="720"/>
    </w:pPr>
    <w:rPr>
      <w:i/>
    </w:rPr>
  </w:style>
  <w:style w:type="character" w:styleId="828" w:customStyle="1">
    <w:name w:val="Цитата 2 Знак"/>
    <w:link w:val="827"/>
    <w:uiPriority w:val="29"/>
    <w:rPr>
      <w:i/>
    </w:rPr>
  </w:style>
  <w:style w:type="paragraph" w:styleId="829">
    <w:name w:val="Intense Quote"/>
    <w:basedOn w:val="786"/>
    <w:next w:val="786"/>
    <w:link w:val="83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830" w:customStyle="1">
    <w:name w:val="Выделенная цитата Знак"/>
    <w:link w:val="829"/>
    <w:uiPriority w:val="30"/>
    <w:rPr>
      <w:i/>
    </w:rPr>
  </w:style>
  <w:style w:type="paragraph" w:styleId="831">
    <w:name w:val="Header"/>
    <w:basedOn w:val="786"/>
    <w:link w:val="997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32" w:customStyle="1">
    <w:name w:val="Header Char"/>
    <w:uiPriority w:val="99"/>
  </w:style>
  <w:style w:type="paragraph" w:styleId="833">
    <w:name w:val="Footer"/>
    <w:basedOn w:val="786"/>
    <w:link w:val="995"/>
    <w:pPr>
      <w:tabs>
        <w:tab w:val="center" w:pos="4153" w:leader="none"/>
        <w:tab w:val="right" w:pos="8306" w:leader="none"/>
      </w:tabs>
      <w:spacing w:after="0" w:line="240" w:lineRule="auto"/>
    </w:pPr>
    <w:rPr>
      <w:sz w:val="28"/>
      <w:szCs w:val="28"/>
    </w:rPr>
  </w:style>
  <w:style w:type="paragraph" w:styleId="834">
    <w:name w:val="Caption"/>
    <w:basedOn w:val="786"/>
    <w:next w:val="78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35" w:customStyle="1">
    <w:name w:val="Caption Char"/>
    <w:uiPriority w:val="99"/>
  </w:style>
  <w:style w:type="table" w:styleId="836">
    <w:name w:val="Table Grid"/>
    <w:basedOn w:val="797"/>
    <w:rPr>
      <w:rFonts w:cs="Times New Roman"/>
    </w:rPr>
    <w:tblPr/>
  </w:style>
  <w:style w:type="table" w:styleId="83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8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9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3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7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4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7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7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7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7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7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7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78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5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2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6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4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4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4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2">
    <w:name w:val="Hyperlink"/>
    <w:uiPriority w:val="99"/>
    <w:unhideWhenUsed/>
    <w:rPr>
      <w:color w:val="0000ff"/>
      <w:u w:val="single"/>
    </w:rPr>
  </w:style>
  <w:style w:type="paragraph" w:styleId="963">
    <w:name w:val="footnote text"/>
    <w:basedOn w:val="786"/>
    <w:link w:val="964"/>
    <w:uiPriority w:val="99"/>
    <w:semiHidden/>
    <w:unhideWhenUsed/>
    <w:pPr>
      <w:spacing w:after="40" w:line="240" w:lineRule="auto"/>
    </w:pPr>
    <w:rPr>
      <w:sz w:val="18"/>
    </w:rPr>
  </w:style>
  <w:style w:type="character" w:styleId="964" w:customStyle="1">
    <w:name w:val="Текст сноски Знак"/>
    <w:link w:val="963"/>
    <w:uiPriority w:val="99"/>
    <w:rPr>
      <w:sz w:val="18"/>
    </w:rPr>
  </w:style>
  <w:style w:type="character" w:styleId="965">
    <w:name w:val="footnote reference"/>
    <w:uiPriority w:val="99"/>
    <w:unhideWhenUsed/>
    <w:rPr>
      <w:vertAlign w:val="superscript"/>
    </w:rPr>
  </w:style>
  <w:style w:type="paragraph" w:styleId="966">
    <w:name w:val="endnote text"/>
    <w:basedOn w:val="786"/>
    <w:link w:val="967"/>
    <w:uiPriority w:val="99"/>
    <w:semiHidden/>
    <w:unhideWhenUsed/>
    <w:pPr>
      <w:spacing w:after="0" w:line="240" w:lineRule="auto"/>
    </w:pPr>
    <w:rPr>
      <w:sz w:val="20"/>
    </w:rPr>
  </w:style>
  <w:style w:type="character" w:styleId="967" w:customStyle="1">
    <w:name w:val="Текст концевой сноски Знак"/>
    <w:link w:val="966"/>
    <w:uiPriority w:val="99"/>
    <w:rPr>
      <w:sz w:val="20"/>
    </w:rPr>
  </w:style>
  <w:style w:type="character" w:styleId="968">
    <w:name w:val="endnote reference"/>
    <w:uiPriority w:val="99"/>
    <w:semiHidden/>
    <w:unhideWhenUsed/>
    <w:rPr>
      <w:vertAlign w:val="superscript"/>
    </w:rPr>
  </w:style>
  <w:style w:type="paragraph" w:styleId="969">
    <w:name w:val="toc 1"/>
    <w:basedOn w:val="786"/>
    <w:next w:val="786"/>
    <w:uiPriority w:val="39"/>
    <w:unhideWhenUsed/>
    <w:pPr>
      <w:spacing w:after="57"/>
    </w:pPr>
  </w:style>
  <w:style w:type="paragraph" w:styleId="970">
    <w:name w:val="toc 2"/>
    <w:basedOn w:val="786"/>
    <w:next w:val="786"/>
    <w:uiPriority w:val="39"/>
    <w:unhideWhenUsed/>
    <w:pPr>
      <w:spacing w:after="57"/>
      <w:ind w:left="283"/>
    </w:pPr>
  </w:style>
  <w:style w:type="paragraph" w:styleId="971">
    <w:name w:val="toc 3"/>
    <w:basedOn w:val="786"/>
    <w:next w:val="786"/>
    <w:uiPriority w:val="39"/>
    <w:unhideWhenUsed/>
    <w:pPr>
      <w:spacing w:after="57"/>
      <w:ind w:left="567"/>
    </w:pPr>
  </w:style>
  <w:style w:type="paragraph" w:styleId="972">
    <w:name w:val="toc 4"/>
    <w:basedOn w:val="786"/>
    <w:next w:val="786"/>
    <w:uiPriority w:val="39"/>
    <w:unhideWhenUsed/>
    <w:pPr>
      <w:spacing w:after="57"/>
      <w:ind w:left="850"/>
    </w:pPr>
  </w:style>
  <w:style w:type="paragraph" w:styleId="973">
    <w:name w:val="toc 5"/>
    <w:basedOn w:val="786"/>
    <w:next w:val="786"/>
    <w:uiPriority w:val="39"/>
    <w:unhideWhenUsed/>
    <w:pPr>
      <w:spacing w:after="57"/>
      <w:ind w:left="1134"/>
    </w:pPr>
  </w:style>
  <w:style w:type="paragraph" w:styleId="974">
    <w:name w:val="toc 6"/>
    <w:basedOn w:val="786"/>
    <w:next w:val="786"/>
    <w:uiPriority w:val="39"/>
    <w:unhideWhenUsed/>
    <w:pPr>
      <w:spacing w:after="57"/>
      <w:ind w:left="1417"/>
    </w:pPr>
  </w:style>
  <w:style w:type="paragraph" w:styleId="975">
    <w:name w:val="toc 7"/>
    <w:basedOn w:val="786"/>
    <w:next w:val="786"/>
    <w:uiPriority w:val="39"/>
    <w:unhideWhenUsed/>
    <w:pPr>
      <w:spacing w:after="57"/>
      <w:ind w:left="1701"/>
    </w:pPr>
  </w:style>
  <w:style w:type="paragraph" w:styleId="976">
    <w:name w:val="toc 8"/>
    <w:basedOn w:val="786"/>
    <w:next w:val="786"/>
    <w:uiPriority w:val="39"/>
    <w:unhideWhenUsed/>
    <w:pPr>
      <w:spacing w:after="57"/>
      <w:ind w:left="1984"/>
    </w:pPr>
  </w:style>
  <w:style w:type="paragraph" w:styleId="977">
    <w:name w:val="toc 9"/>
    <w:basedOn w:val="786"/>
    <w:next w:val="786"/>
    <w:uiPriority w:val="39"/>
    <w:unhideWhenUsed/>
    <w:pPr>
      <w:spacing w:after="57"/>
      <w:ind w:left="2268"/>
    </w:pPr>
  </w:style>
  <w:style w:type="paragraph" w:styleId="978">
    <w:name w:val="TOC Heading"/>
    <w:uiPriority w:val="39"/>
    <w:unhideWhenUsed/>
  </w:style>
  <w:style w:type="paragraph" w:styleId="979">
    <w:name w:val="table of figures"/>
    <w:basedOn w:val="786"/>
    <w:next w:val="786"/>
    <w:uiPriority w:val="99"/>
    <w:unhideWhenUsed/>
    <w:pPr>
      <w:spacing w:after="0"/>
    </w:pPr>
  </w:style>
  <w:style w:type="character" w:styleId="980" w:customStyle="1">
    <w:name w:val="Заголовок 1 Знак"/>
    <w:link w:val="787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81" w:customStyle="1">
    <w:name w:val="Заголовок 2 Знак"/>
    <w:link w:val="788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82">
    <w:name w:val="Body Text"/>
    <w:basedOn w:val="786"/>
    <w:link w:val="983"/>
    <w:uiPriority w:val="99"/>
    <w:semiHidden/>
    <w:pPr>
      <w:spacing w:after="0" w:line="240" w:lineRule="auto"/>
      <w:jc w:val="center"/>
    </w:pPr>
    <w:rPr>
      <w:b/>
      <w:bCs/>
      <w:sz w:val="32"/>
      <w:szCs w:val="32"/>
    </w:rPr>
  </w:style>
  <w:style w:type="character" w:styleId="983" w:customStyle="1">
    <w:name w:val="Основной текст Знак"/>
    <w:link w:val="982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84">
    <w:name w:val="Body Text 2"/>
    <w:basedOn w:val="786"/>
    <w:link w:val="985"/>
    <w:uiPriority w:val="99"/>
    <w:semiHidden/>
    <w:pPr>
      <w:spacing w:after="120" w:line="480" w:lineRule="auto"/>
    </w:pPr>
    <w:rPr>
      <w:sz w:val="20"/>
      <w:szCs w:val="20"/>
    </w:rPr>
  </w:style>
  <w:style w:type="character" w:styleId="985" w:customStyle="1">
    <w:name w:val="Основной текст 2 Знак"/>
    <w:link w:val="984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86">
    <w:name w:val="Balloon Text"/>
    <w:basedOn w:val="786"/>
    <w:link w:val="98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87" w:customStyle="1">
    <w:name w:val="Текст выноски Знак"/>
    <w:link w:val="986"/>
    <w:uiPriority w:val="99"/>
    <w:semiHidden/>
    <w:rPr>
      <w:rFonts w:ascii="Tahoma" w:hAnsi="Tahoma" w:cs="Tahoma"/>
      <w:sz w:val="16"/>
      <w:szCs w:val="16"/>
    </w:rPr>
  </w:style>
  <w:style w:type="paragraph" w:styleId="988" w:customStyle="1">
    <w:name w:val="Абзац списка1"/>
    <w:basedOn w:val="786"/>
    <w:uiPriority w:val="99"/>
    <w:pPr>
      <w:ind w:left="720"/>
    </w:pPr>
  </w:style>
  <w:style w:type="paragraph" w:styleId="989" w:customStyle="1">
    <w:name w:val="Название"/>
    <w:basedOn w:val="786"/>
    <w:link w:val="990"/>
    <w:uiPriority w:val="99"/>
    <w:qFormat/>
    <w:pPr>
      <w:spacing w:after="0" w:line="216" w:lineRule="auto"/>
      <w:jc w:val="center"/>
    </w:pPr>
    <w:rPr>
      <w:b/>
      <w:bCs/>
      <w:sz w:val="28"/>
      <w:szCs w:val="28"/>
    </w:rPr>
  </w:style>
  <w:style w:type="character" w:styleId="990" w:customStyle="1">
    <w:name w:val="Название Знак"/>
    <w:link w:val="989"/>
    <w:rPr>
      <w:b/>
      <w:bCs/>
      <w:sz w:val="24"/>
      <w:szCs w:val="24"/>
      <w:lang w:val="ru-RU" w:eastAsia="ru-RU"/>
    </w:rPr>
  </w:style>
  <w:style w:type="paragraph" w:styleId="991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92">
    <w:name w:val="Body Text Indent"/>
    <w:basedOn w:val="786"/>
    <w:link w:val="993"/>
    <w:uiPriority w:val="99"/>
    <w:pPr>
      <w:spacing w:after="120"/>
      <w:ind w:left="283"/>
    </w:pPr>
  </w:style>
  <w:style w:type="character" w:styleId="993" w:customStyle="1">
    <w:name w:val="Основной текст с отступом Знак"/>
    <w:link w:val="992"/>
    <w:uiPriority w:val="99"/>
    <w:semiHidden/>
    <w:rPr>
      <w:sz w:val="22"/>
      <w:szCs w:val="22"/>
    </w:rPr>
  </w:style>
  <w:style w:type="character" w:styleId="994" w:customStyle="1">
    <w:name w:val="Footer Char"/>
    <w:uiPriority w:val="99"/>
    <w:rPr>
      <w:sz w:val="28"/>
      <w:szCs w:val="28"/>
      <w:lang w:val="ru-RU" w:eastAsia="ru-RU"/>
    </w:rPr>
  </w:style>
  <w:style w:type="character" w:styleId="995" w:customStyle="1">
    <w:name w:val="Нижний колонтитул Знак"/>
    <w:link w:val="833"/>
    <w:rPr>
      <w:sz w:val="22"/>
      <w:szCs w:val="22"/>
    </w:rPr>
  </w:style>
  <w:style w:type="paragraph" w:styleId="996" w:customStyle="1">
    <w:name w:val="Абзац списка;ПАРАГРАФ;List Paragraph;Абзац списка11;Список_маркированный;Список_маркированный1"/>
    <w:basedOn w:val="786"/>
    <w:uiPriority w:val="34"/>
    <w:qFormat/>
    <w:pPr>
      <w:ind w:left="720"/>
      <w:contextualSpacing/>
    </w:pPr>
  </w:style>
  <w:style w:type="character" w:styleId="997" w:customStyle="1">
    <w:name w:val="Верхний колонтитул Знак"/>
    <w:basedOn w:val="796"/>
    <w:link w:val="831"/>
    <w:uiPriority w:val="99"/>
  </w:style>
  <w:style w:type="character" w:styleId="998">
    <w:name w:val="Strong"/>
    <w:uiPriority w:val="22"/>
    <w:qFormat/>
    <w:rPr>
      <w:b/>
      <w:bCs/>
    </w:rPr>
  </w:style>
  <w:style w:type="paragraph" w:styleId="999">
    <w:name w:val="Normal (Web)"/>
    <w:basedOn w:val="78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1000" w:customStyle="1">
    <w:name w:val="Основной текст_"/>
    <w:link w:val="1001"/>
    <w:rPr>
      <w:spacing w:val="-2"/>
      <w:sz w:val="25"/>
      <w:szCs w:val="25"/>
      <w:shd w:val="clear" w:color="auto" w:fill="ffffff"/>
    </w:rPr>
  </w:style>
  <w:style w:type="paragraph" w:styleId="1001" w:customStyle="1">
    <w:name w:val="Основной текст1"/>
    <w:basedOn w:val="786"/>
    <w:link w:val="1000"/>
    <w:pPr>
      <w:widowControl w:val="off"/>
      <w:shd w:val="clear" w:color="auto" w:fill="ffffff"/>
      <w:spacing w:after="240" w:line="312" w:lineRule="exact"/>
    </w:pPr>
    <w:rPr>
      <w:spacing w:val="-2"/>
      <w:sz w:val="25"/>
      <w:szCs w:val="25"/>
    </w:rPr>
  </w:style>
  <w:style w:type="character" w:styleId="1002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1003" w:customStyle="1">
    <w:name w:val="Основной текст (12)_"/>
    <w:link w:val="1004"/>
    <w:rPr>
      <w:spacing w:val="2"/>
      <w:shd w:val="clear" w:color="auto" w:fill="ffffff"/>
    </w:rPr>
  </w:style>
  <w:style w:type="paragraph" w:styleId="1004" w:customStyle="1">
    <w:name w:val="Основной текст (12)"/>
    <w:basedOn w:val="786"/>
    <w:link w:val="1003"/>
    <w:pPr>
      <w:widowControl w:val="off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1005" w:customStyle="1">
    <w:name w:val="ConsNormal"/>
    <w:uiPriority w:val="99"/>
    <w:pPr>
      <w:widowControl w:val="off"/>
      <w:ind w:firstLine="720"/>
    </w:pPr>
    <w:rPr>
      <w:rFonts w:ascii="Arial" w:hAnsi="Arial" w:cs="Arial"/>
      <w:lang w:eastAsia="ru-RU"/>
    </w:rPr>
  </w:style>
  <w:style w:type="paragraph" w:styleId="1006" w:customStyle="1">
    <w:name w:val="ConsPlusNormal"/>
    <w:link w:val="1007"/>
    <w:pPr>
      <w:widowControl w:val="off"/>
      <w:ind w:firstLine="720"/>
    </w:pPr>
    <w:rPr>
      <w:rFonts w:ascii="Arial" w:hAnsi="Arial" w:cs="Arial"/>
      <w:lang w:eastAsia="ru-RU"/>
    </w:rPr>
  </w:style>
  <w:style w:type="character" w:styleId="1007" w:customStyle="1">
    <w:name w:val="ConsPlusNormal Знак"/>
    <w:link w:val="1006"/>
    <w:rPr>
      <w:rFonts w:ascii="Arial" w:hAnsi="Arial" w:cs="Arial"/>
    </w:rPr>
  </w:style>
  <w:style w:type="character" w:styleId="1008" w:customStyle="1">
    <w:name w:val="Основной текст + Интервал 0 pt"/>
    <w:basedOn w:val="1000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1009" w:customStyle="1">
    <w:name w:val="Основной текст (18)"/>
    <w:link w:val="1012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before="60" w:after="240" w:line="326" w:lineRule="exact"/>
    </w:pPr>
    <w:rPr>
      <w:rFonts w:cs="Times New Roman"/>
      <w:spacing w:val="7"/>
      <w:lang w:eastAsia="ru-RU"/>
    </w:rPr>
  </w:style>
  <w:style w:type="character" w:styleId="1010" w:customStyle="1">
    <w:name w:val="Основной текст (15)_"/>
    <w:link w:val="1016"/>
    <w:rPr>
      <w:spacing w:val="3"/>
      <w:shd w:val="clear" w:color="auto" w:fill="ffffff"/>
    </w:rPr>
  </w:style>
  <w:style w:type="paragraph" w:styleId="1011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1012" w:customStyle="1">
    <w:name w:val="Основной текст (18)_"/>
    <w:link w:val="1009"/>
    <w:rPr>
      <w:rFonts w:cs="Times New Roman"/>
      <w:spacing w:val="7"/>
      <w:shd w:val="clear" w:color="auto" w:fill="ffffff"/>
      <w:lang w:eastAsia="ru-RU"/>
    </w:rPr>
  </w:style>
  <w:style w:type="character" w:styleId="1013" w:customStyle="1">
    <w:name w:val="Основной текст (4)_"/>
    <w:basedOn w:val="796"/>
    <w:link w:val="1015"/>
    <w:rPr>
      <w:spacing w:val="6"/>
      <w:shd w:val="clear" w:color="auto" w:fill="ffffff"/>
    </w:rPr>
  </w:style>
  <w:style w:type="character" w:styleId="1014" w:customStyle="1">
    <w:name w:val="Основной текст (4) + 9.5 pt"/>
    <w:basedOn w:val="1013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1015" w:customStyle="1">
    <w:name w:val="Основной текст (4)"/>
    <w:basedOn w:val="786"/>
    <w:link w:val="1013"/>
    <w:pPr>
      <w:widowControl w:val="off"/>
      <w:shd w:val="clear" w:color="auto" w:fill="ffffff"/>
      <w:spacing w:after="0" w:line="0" w:lineRule="atLeast"/>
    </w:pPr>
    <w:rPr>
      <w:spacing w:val="6"/>
      <w:sz w:val="20"/>
      <w:szCs w:val="20"/>
      <w:lang w:eastAsia="zh-CN"/>
    </w:rPr>
  </w:style>
  <w:style w:type="paragraph" w:styleId="1016" w:customStyle="1">
    <w:name w:val="Основной текст (15)"/>
    <w:basedOn w:val="786"/>
    <w:link w:val="1010"/>
    <w:pPr>
      <w:widowControl w:val="off"/>
      <w:shd w:val="clear" w:color="auto" w:fill="ffffff"/>
      <w:spacing w:before="60" w:after="420" w:line="0" w:lineRule="atLeast"/>
      <w:ind w:hanging="2060"/>
    </w:pPr>
    <w:rPr>
      <w:spacing w:val="3"/>
      <w:sz w:val="20"/>
      <w:szCs w:val="20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login.consultant.ru/link/?req=doc&amp;base=RLAW049&amp;n=13269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31</cp:revision>
  <dcterms:created xsi:type="dcterms:W3CDTF">2024-03-18T02:13:00Z</dcterms:created>
  <dcterms:modified xsi:type="dcterms:W3CDTF">2024-04-22T07:42:27Z</dcterms:modified>
  <cp:version>1048576</cp:version>
</cp:coreProperties>
</file>