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b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524288" behindDoc="0" locked="0" layoutInCell="1" allowOverlap="1">
                <wp:simplePos x="0" y="0"/>
                <wp:positionH relativeFrom="column">
                  <wp:posOffset>2803525</wp:posOffset>
                </wp:positionH>
                <wp:positionV relativeFrom="paragraph">
                  <wp:posOffset>-153669</wp:posOffset>
                </wp:positionV>
                <wp:extent cx="621665" cy="709295"/>
                <wp:effectExtent l="0" t="0" r="0" b="0"/>
                <wp:wrapNone/>
                <wp:docPr id="1" name="_x0000_s1030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0"/>
                        <a:srcRect l="0" t="0" r="-4137" b="0"/>
                        <a:stretch/>
                      </pic:blipFill>
                      <pic:spPr bwMode="auto">
                        <a:xfrm>
                          <a:off x="0" y="0"/>
                          <a:ext cx="621665" cy="7092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position:absolute;z-index:524288;o:allowoverlap:true;o:allowincell:true;mso-position-horizontal-relative:text;margin-left:220.75pt;mso-position-horizontal:absolute;mso-position-vertical-relative:text;margin-top:-12.10pt;mso-position-vertical:absolute;width:48.95pt;height:55.85pt;mso-wrap-distance-left:9.00pt;mso-wrap-distance-top:0.00pt;mso-wrap-distance-right:9.00pt;mso-wrap-distance-bottom:0.00pt;" stroked="f">
                <v:path textboxrect="0,0,0,0"/>
                <v:imagedata r:id="rId10" o:title=""/>
              </v:shape>
            </w:pict>
          </mc:Fallback>
        </mc:AlternateConten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29"/>
        <w:rPr>
          <w:szCs w:val="28"/>
        </w:rPr>
      </w:pPr>
      <w:r>
        <w:rPr>
          <w:szCs w:val="28"/>
        </w:rPr>
      </w:r>
      <w:r>
        <w:rPr>
          <w:szCs w:val="28"/>
        </w:rPr>
      </w:r>
      <w:r>
        <w:rPr>
          <w:szCs w:val="28"/>
        </w:rPr>
      </w:r>
    </w:p>
    <w:p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ЗАКОНОДАТЕЛЬНОЕ СОБРАНИЕ НОВОСИБИРСКОЙ ОБЛАСТИ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pStyle w:val="692"/>
        <w:ind w:firstLine="0"/>
        <w:rPr>
          <w:spacing w:val="140"/>
          <w:szCs w:val="28"/>
        </w:rPr>
      </w:pPr>
      <w:r>
        <w:rPr>
          <w:spacing w:val="140"/>
          <w:szCs w:val="28"/>
        </w:rPr>
        <w:t xml:space="preserve">КОМИТЕТ</w:t>
      </w:r>
      <w:r>
        <w:rPr>
          <w:spacing w:val="140"/>
          <w:szCs w:val="28"/>
        </w:rPr>
      </w:r>
      <w:r>
        <w:rPr>
          <w:spacing w:val="140"/>
          <w:szCs w:val="28"/>
        </w:rPr>
      </w:r>
    </w:p>
    <w:p>
      <w:pPr>
        <w:pStyle w:val="692"/>
        <w:ind w:firstLine="0"/>
        <w:rPr>
          <w:szCs w:val="28"/>
        </w:rPr>
      </w:pPr>
      <w:r>
        <w:rPr>
          <w:szCs w:val="28"/>
        </w:rPr>
        <w:t xml:space="preserve">по бюджетной, финансово-экономической политике и собственности</w:t>
      </w:r>
      <w:r>
        <w:rPr>
          <w:szCs w:val="28"/>
        </w:rPr>
      </w:r>
      <w:r>
        <w:rPr>
          <w:szCs w:val="28"/>
        </w:rPr>
      </w:r>
    </w:p>
    <w:p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tbl>
      <w:tblPr>
        <w:tblW w:w="10456" w:type="dxa"/>
        <w:tblLook w:val="01E0" w:firstRow="1" w:lastRow="1" w:firstColumn="1" w:lastColumn="1" w:noHBand="0" w:noVBand="0"/>
      </w:tblPr>
      <w:tblGrid>
        <w:gridCol w:w="3473"/>
        <w:gridCol w:w="2447"/>
        <w:gridCol w:w="4536"/>
      </w:tblGrid>
      <w:tr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3473" w:type="dxa"/>
            <w:textDirection w:val="lrTb"/>
            <w:noWrap w:val="false"/>
          </w:tcPr>
          <w:p>
            <w:pPr>
              <w:pStyle w:val="737"/>
              <w:ind w:firstLine="0"/>
              <w:spacing w:line="276" w:lineRule="auto"/>
              <w:rPr>
                <w:szCs w:val="28"/>
              </w:rPr>
            </w:pPr>
            <w:r>
              <w:rPr>
                <w:szCs w:val="28"/>
              </w:rPr>
              <w:t xml:space="preserve">ул. Кирова, 3, к.504, </w:t>
            </w:r>
            <w:r>
              <w:rPr>
                <w:szCs w:val="28"/>
              </w:rPr>
            </w:r>
            <w:r>
              <w:rPr>
                <w:szCs w:val="28"/>
              </w:rPr>
            </w:r>
          </w:p>
          <w:p>
            <w:pPr>
              <w:pStyle w:val="737"/>
              <w:ind w:firstLine="0"/>
              <w:spacing w:line="276" w:lineRule="auto"/>
              <w:rPr>
                <w:szCs w:val="28"/>
              </w:rPr>
            </w:pPr>
            <w: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1658241" behindDoc="0" locked="0" layoutInCell="1" allowOverlap="1">
                      <wp:simplePos x="0" y="0"/>
                      <wp:positionH relativeFrom="column">
                        <wp:posOffset>-7619</wp:posOffset>
                      </wp:positionH>
                      <wp:positionV relativeFrom="paragraph">
                        <wp:posOffset>407035</wp:posOffset>
                      </wp:positionV>
                      <wp:extent cx="6178550" cy="45085"/>
                      <wp:effectExtent l="0" t="0" r="0" b="0"/>
                      <wp:wrapNone/>
                      <wp:docPr id="2" name="_x0000_s10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 flipV="1">
                                <a:off x="0" y="0"/>
                                <a:ext cx="6178550" cy="45085"/>
                              </a:xfrm>
                              <a:prstGeom prst="lin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50">
                                <a:solidFill>
                                  <a:srgbClr val="000000"/>
                                </a:solidFill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shape 1" o:spid="_x0000_s1" style="position:absolute;left:0;text-align:left;z-index:251658241;mso-wrap-distance-left:9.00pt;mso-wrap-distance-top:0.00pt;mso-wrap-distance-right:9.00pt;mso-wrap-distance-bottom:0.00pt;flip:y;visibility:visible;" from="-0.6pt,32.0pt" to="485.9pt,35.6pt" fillcolor="#FFFFFF" strokecolor="#000000" strokeweight="1.50pt"/>
                  </w:pict>
                </mc:Fallback>
              </mc:AlternateContent>
            </w:r>
            <w:r>
              <w:rPr>
                <w:szCs w:val="28"/>
              </w:rPr>
              <w:t xml:space="preserve">г. Новосибирск, 630007</w:t>
            </w:r>
            <w:r>
              <w:rPr>
                <w:szCs w:val="28"/>
              </w:rPr>
            </w:r>
            <w:r>
              <w:rPr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447" w:type="dxa"/>
            <w:textDirection w:val="lrTb"/>
            <w:noWrap w:val="false"/>
          </w:tcPr>
          <w:p>
            <w:pPr>
              <w:pStyle w:val="737"/>
              <w:spacing w:line="276" w:lineRule="auto"/>
              <w:rPr>
                <w:szCs w:val="28"/>
              </w:rPr>
            </w:pPr>
            <w:r>
              <w:rPr>
                <w:szCs w:val="28"/>
              </w:rPr>
            </w:r>
            <w:r>
              <w:rPr>
                <w:szCs w:val="28"/>
              </w:rPr>
            </w:r>
            <w:r>
              <w:rPr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536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телефон: 296-53-46, 296-53-48, </w:t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  <w:p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296-54-13</w:t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  <w:p>
            <w:pPr>
              <w:pStyle w:val="737"/>
              <w:ind w:firstLine="0"/>
              <w:spacing w:line="276" w:lineRule="auto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e</w:t>
            </w:r>
            <w:r>
              <w:rPr>
                <w:szCs w:val="28"/>
              </w:rPr>
              <w:t xml:space="preserve">-</w:t>
            </w:r>
            <w:r>
              <w:rPr>
                <w:szCs w:val="28"/>
                <w:lang w:val="en-US"/>
              </w:rPr>
              <w:t xml:space="preserve">mail</w:t>
            </w:r>
            <w:r>
              <w:rPr>
                <w:szCs w:val="28"/>
              </w:rPr>
              <w:t xml:space="preserve">: </w:t>
            </w:r>
            <w:r>
              <w:rPr>
                <w:szCs w:val="28"/>
                <w:lang w:val="en-US"/>
              </w:rPr>
              <w:t xml:space="preserve">k</w:t>
            </w:r>
            <w:r>
              <w:rPr>
                <w:szCs w:val="28"/>
                <w:u w:val="single"/>
              </w:rPr>
              <w:t xml:space="preserve">_</w:t>
            </w:r>
            <w:r>
              <w:rPr>
                <w:szCs w:val="28"/>
                <w:lang w:val="en-US"/>
              </w:rPr>
              <w:t xml:space="preserve">budg</w:t>
            </w:r>
            <w:r>
              <w:rPr>
                <w:szCs w:val="28"/>
              </w:rPr>
              <w:t xml:space="preserve">@</w:t>
            </w:r>
            <w:r>
              <w:rPr>
                <w:szCs w:val="28"/>
                <w:lang w:val="en-US"/>
              </w:rPr>
              <w:t xml:space="preserve">zsnso</w:t>
            </w:r>
            <w:r>
              <w:rPr>
                <w:szCs w:val="28"/>
              </w:rPr>
              <w:t xml:space="preserve">.</w:t>
            </w:r>
            <w:r>
              <w:rPr>
                <w:szCs w:val="28"/>
                <w:lang w:val="en-US"/>
              </w:rPr>
              <w:t xml:space="preserve">ru</w:t>
            </w:r>
            <w:r>
              <w:rPr>
                <w:szCs w:val="28"/>
              </w:rPr>
            </w:r>
            <w:r>
              <w:rPr>
                <w:szCs w:val="28"/>
              </w:rPr>
            </w:r>
          </w:p>
        </w:tc>
      </w:tr>
    </w:tbl>
    <w:p>
      <w:pPr>
        <w:pStyle w:val="737"/>
        <w:ind w:firstLine="0"/>
        <w:jc w:val="right"/>
        <w:rPr>
          <w:b/>
          <w:szCs w:val="28"/>
        </w:rPr>
      </w:pPr>
      <w:r>
        <w:rPr>
          <w:b/>
          <w:szCs w:val="28"/>
        </w:rPr>
        <w:t xml:space="preserve"> № 14</w:t>
      </w:r>
      <w:r>
        <w:rPr>
          <w:b/>
          <w:szCs w:val="28"/>
        </w:rPr>
      </w:r>
      <w:r>
        <w:rPr>
          <w:b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Протокол </w:t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заседания комитета 15 ноября 2023 года</w:t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ind w:right="225"/>
        <w:jc w:val="right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11-00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right="225"/>
        <w:jc w:val="right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ул. Кирова, 3, малый зал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right="225"/>
        <w:spacing w:after="0" w:line="240" w:lineRule="auto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</w:r>
      <w:r>
        <w:rPr>
          <w:rFonts w:ascii="Times New Roman" w:hAnsi="Times New Roman"/>
          <w:i/>
          <w:sz w:val="28"/>
          <w:szCs w:val="28"/>
        </w:rPr>
      </w:r>
      <w:r>
        <w:rPr>
          <w:rFonts w:ascii="Times New Roman" w:hAnsi="Times New Roman"/>
          <w:i/>
          <w:sz w:val="28"/>
          <w:szCs w:val="28"/>
        </w:rPr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181"/>
        <w:gridCol w:w="922"/>
        <w:gridCol w:w="4927"/>
      </w:tblGrid>
      <w:tr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18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Присутствовали: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r>
          </w:p>
          <w:p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922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927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r>
          </w:p>
        </w:tc>
      </w:tr>
      <w:tr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18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Председатель комитета: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922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927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Николаев Федор Анатольевич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r>
          </w:p>
        </w:tc>
      </w:tr>
      <w:tr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18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Заместители председателя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</w:p>
          <w:p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комитета:                                              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922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927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Кальченко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Сергей Владимирович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Франчук Дмитрий Вадимович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</w:p>
        </w:tc>
      </w:tr>
      <w:tr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18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Члены комитета:                         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922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927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Диденко Ирина Валериевна</w:t>
            </w: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r>
          </w:p>
        </w:tc>
      </w:tr>
      <w:tr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18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922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927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Карасева Дарья Николаевна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Машкарин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Николай Владимирович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Мороз Иван Григорьевич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</w:p>
        </w:tc>
      </w:tr>
      <w:tr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18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922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927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r>
          </w:p>
        </w:tc>
      </w:tr>
      <w:tr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18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Отсутствовали:                           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922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927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Андреев Алексей Алексеевич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Гайдук Сергей Александрович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Кулинич Александр Андреевич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Червов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Валерий Дмитриевич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</w:p>
        </w:tc>
      </w:tr>
      <w:tr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18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922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 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927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</w:p>
        </w:tc>
      </w:tr>
      <w:tr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18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Референты, советник комитета: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922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927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Ионова Екатерина Васильевна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Притуленко Ольга Сергеевна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</w:p>
        </w:tc>
      </w:tr>
      <w:tr>
        <w:trPr>
          <w:trHeight w:val="496"/>
        </w:trPr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18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922" w:type="dxa"/>
            <w:textDirection w:val="lrTb"/>
            <w:noWrap w:val="false"/>
          </w:tcPr>
          <w:p>
            <w:pPr>
              <w:jc w:val="both"/>
              <w:spacing w:after="0" w:line="240" w:lineRule="auto"/>
              <w:shd w:val="clear" w:color="ffffff" w:themeColor="background1" w:fill="ffffff" w:themeFill="background1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927" w:type="dxa"/>
            <w:textDirection w:val="lrTb"/>
            <w:noWrap w:val="false"/>
          </w:tcPr>
          <w:p>
            <w:pPr>
              <w:jc w:val="both"/>
              <w:spacing w:after="0" w:line="240" w:lineRule="auto"/>
              <w:shd w:val="clear" w:color="ffffff" w:themeColor="background1" w:fill="ffffff" w:themeFill="background1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Орленко Наталья Николаевна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</w:p>
        </w:tc>
      </w:tr>
      <w:tr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18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u w:val="single"/>
              </w:rPr>
              <w:t xml:space="preserve">Приглашенные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: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</w:p>
          <w:p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922" w:type="dxa"/>
            <w:textDirection w:val="lrTb"/>
            <w:noWrap w:val="false"/>
          </w:tcPr>
          <w:p>
            <w:pPr>
              <w:jc w:val="both"/>
              <w:spacing w:after="0" w:line="240" w:lineRule="auto"/>
              <w:shd w:val="clear" w:color="ffffff" w:themeColor="background1" w:fill="ffffff" w:themeFill="background1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927" w:type="dxa"/>
            <w:textDirection w:val="lrTb"/>
            <w:noWrap w:val="false"/>
          </w:tcPr>
          <w:p>
            <w:pPr>
              <w:jc w:val="both"/>
              <w:spacing w:after="0" w:line="240" w:lineRule="auto"/>
              <w:shd w:val="clear" w:color="ffffff" w:themeColor="background1" w:fill="ffffff" w:themeFill="background1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31 участник (список прилагается)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</w:p>
        </w:tc>
      </w:tr>
      <w:tr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18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922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927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</w:p>
        </w:tc>
      </w:tr>
    </w:tbl>
    <w:p>
      <w:pPr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8242" behindDoc="0" locked="0" layoutInCell="1" allowOverlap="1">
                <wp:simplePos x="0" y="0"/>
                <wp:positionH relativeFrom="column">
                  <wp:posOffset>17145</wp:posOffset>
                </wp:positionH>
                <wp:positionV relativeFrom="paragraph">
                  <wp:posOffset>17145</wp:posOffset>
                </wp:positionV>
                <wp:extent cx="6339205" cy="27305"/>
                <wp:effectExtent l="0" t="0" r="0" b="0"/>
                <wp:wrapNone/>
                <wp:docPr id="3" name="_x0000_s10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6339205" cy="27305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id="shape 2" o:spid="_x0000_s2" style="position:absolute;left:0;text-align:left;z-index:251658242;mso-wrap-distance-left:9.00pt;mso-wrap-distance-top:0.00pt;mso-wrap-distance-right:9.00pt;mso-wrap-distance-bottom:0.00pt;visibility:visible;" from="1.3pt,1.3pt" to="500.5pt,3.5pt" filled="f" strokecolor="#000000" strokeweight="1.50pt"/>
            </w:pict>
          </mc:Fallback>
        </mc:AlternateConten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right="225" w:firstLine="708"/>
        <w:jc w:val="both"/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ind w:right="225" w:firstLine="708"/>
        <w:jc w:val="both"/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1. О повестке дня и порядке работы заседания комитета.</w:t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Доклад: Николаев Федор Анатольевич – председатель комитета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right="142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shd w:val="clear" w:color="auto" w:fill="ffffff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РЕШИЛИ: </w:t>
      </w:r>
      <w:r>
        <w:rPr>
          <w:rFonts w:ascii="Times New Roman" w:hAnsi="Times New Roman"/>
          <w:b/>
          <w:color w:val="000000"/>
          <w:sz w:val="28"/>
          <w:szCs w:val="28"/>
        </w:rPr>
      </w:r>
      <w:r>
        <w:rPr>
          <w:rFonts w:ascii="Times New Roman" w:hAnsi="Times New Roman"/>
          <w:b/>
          <w:color w:val="000000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1.1. Принять за основу предложенную повестку заседания комитета.</w:t>
      </w:r>
      <w:r>
        <w:rPr>
          <w:rFonts w:ascii="Times New Roman" w:hAnsi="Times New Roman"/>
          <w:color w:val="000000"/>
          <w:sz w:val="28"/>
          <w:szCs w:val="28"/>
        </w:rPr>
      </w:r>
      <w:r>
        <w:rPr>
          <w:rFonts w:ascii="Times New Roman" w:hAnsi="Times New Roman"/>
          <w:color w:val="000000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1.2. Утвердить повестку и порядок работы заседания комитета.</w:t>
      </w:r>
      <w:r>
        <w:rPr>
          <w:rFonts w:ascii="Times New Roman" w:hAnsi="Times New Roman"/>
          <w:color w:val="000000"/>
          <w:sz w:val="28"/>
          <w:szCs w:val="28"/>
        </w:rPr>
      </w:r>
      <w:r>
        <w:rPr>
          <w:rFonts w:ascii="Times New Roman" w:hAnsi="Times New Roman"/>
          <w:color w:val="000000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</w:r>
      <w:r>
        <w:rPr>
          <w:rFonts w:ascii="Times New Roman" w:hAnsi="Times New Roman"/>
          <w:color w:val="000000"/>
          <w:sz w:val="28"/>
          <w:szCs w:val="28"/>
        </w:rPr>
      </w:r>
      <w:r>
        <w:rPr>
          <w:rFonts w:ascii="Times New Roman" w:hAnsi="Times New Roman"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ГОЛОСОВАЛИ: </w:t>
      </w:r>
      <w:r>
        <w:rPr>
          <w:rFonts w:ascii="Times New Roman" w:hAnsi="Times New Roman"/>
          <w:b/>
          <w:color w:val="000000"/>
          <w:sz w:val="28"/>
          <w:szCs w:val="28"/>
        </w:rPr>
      </w:r>
      <w:r>
        <w:rPr>
          <w:rFonts w:ascii="Times New Roman" w:hAnsi="Times New Roman"/>
          <w:b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«За» – единогласно.</w:t>
      </w:r>
      <w:r>
        <w:rPr>
          <w:rFonts w:ascii="Times New Roman" w:hAnsi="Times New Roman"/>
          <w:color w:val="000000"/>
          <w:sz w:val="28"/>
          <w:szCs w:val="28"/>
        </w:rPr>
      </w:r>
      <w:r>
        <w:rPr>
          <w:rFonts w:ascii="Times New Roman" w:hAnsi="Times New Roman"/>
          <w:color w:val="000000"/>
          <w:sz w:val="28"/>
          <w:szCs w:val="28"/>
        </w:rPr>
      </w:r>
    </w:p>
    <w:p>
      <w:pPr>
        <w:ind w:right="142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right="142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2. О проекте закона Новосибирской области «О внесении изменений в Закон Новосибирской области «О налогах и особенностях налогообложения отдельных категорий налогоплательщиков в Новосибирской области» и Закон Новос</w:t>
      </w:r>
      <w:r>
        <w:rPr>
          <w:rFonts w:ascii="Times New Roman" w:hAnsi="Times New Roman"/>
          <w:b/>
          <w:sz w:val="28"/>
          <w:szCs w:val="28"/>
        </w:rPr>
        <w:t xml:space="preserve">ибирской области «О внесении изменений в Закон Новосибирской области «О налогах и особенностях налогообложения отдельных категорий налогоплательщиков в Новосибирской области», второе чтение. Рассмотрение поправок субъектов права законодательной инициативы.</w:t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Доклад: </w:t>
      </w:r>
      <w:r>
        <w:rPr>
          <w:rFonts w:ascii="Times New Roman" w:hAnsi="Times New Roman"/>
          <w:sz w:val="28"/>
          <w:szCs w:val="28"/>
        </w:rPr>
        <w:t xml:space="preserve">Кальченко</w:t>
      </w:r>
      <w:r>
        <w:rPr>
          <w:rFonts w:ascii="Times New Roman" w:hAnsi="Times New Roman"/>
          <w:sz w:val="28"/>
          <w:szCs w:val="28"/>
        </w:rPr>
        <w:t xml:space="preserve"> Сергей Владимирович − заместитель председателя комитета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/>
          <w:b/>
          <w:i/>
          <w:color w:val="000000"/>
          <w:sz w:val="28"/>
          <w:szCs w:val="28"/>
        </w:rPr>
      </w:pPr>
      <w:r>
        <w:rPr>
          <w:rFonts w:ascii="Times New Roman" w:hAnsi="Times New Roman"/>
          <w:b/>
          <w:i/>
          <w:color w:val="000000"/>
          <w:sz w:val="28"/>
          <w:szCs w:val="28"/>
        </w:rPr>
      </w:r>
      <w:r>
        <w:rPr>
          <w:rFonts w:ascii="Times New Roman" w:hAnsi="Times New Roman"/>
          <w:b/>
          <w:i/>
          <w:color w:val="000000"/>
          <w:sz w:val="28"/>
          <w:szCs w:val="28"/>
        </w:rPr>
      </w:r>
      <w:r>
        <w:rPr>
          <w:rFonts w:ascii="Times New Roman" w:hAnsi="Times New Roman"/>
          <w:b/>
          <w:i/>
          <w:color w:val="000000"/>
          <w:sz w:val="28"/>
          <w:szCs w:val="28"/>
        </w:rPr>
      </w:r>
    </w:p>
    <w:p>
      <w:pPr>
        <w:ind w:firstLine="709"/>
        <w:jc w:val="both"/>
        <w:spacing w:after="0" w:line="240" w:lineRule="auto"/>
        <w:shd w:val="clear" w:color="auto" w:fill="ffffff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РЕШИЛИ: </w:t>
      </w:r>
      <w:r>
        <w:rPr>
          <w:rFonts w:ascii="Times New Roman" w:hAnsi="Times New Roman"/>
          <w:b/>
          <w:color w:val="000000"/>
          <w:sz w:val="28"/>
          <w:szCs w:val="28"/>
        </w:rPr>
      </w:r>
      <w:r>
        <w:rPr>
          <w:rFonts w:ascii="Times New Roman" w:hAnsi="Times New Roman"/>
          <w:b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Внести на рассмотрение сессии Законодательного Собрания Новосибирской области проект закона Новосиб</w:t>
      </w:r>
      <w:r>
        <w:rPr>
          <w:rFonts w:ascii="Times New Roman" w:hAnsi="Times New Roman"/>
          <w:sz w:val="28"/>
          <w:szCs w:val="28"/>
        </w:rPr>
        <w:t xml:space="preserve">ирской области «О внесении изменений в Закон Новосибирской области «О налогах и особенностях налогообложения отдельных категорий налогоплательщиков в Новосибирской области» и Закон Новосибирской области «О внесении изменений в Закон Новосибирской области «</w:t>
      </w:r>
      <w:r>
        <w:rPr>
          <w:rFonts w:ascii="Times New Roman" w:hAnsi="Times New Roman"/>
          <w:sz w:val="28"/>
          <w:szCs w:val="28"/>
        </w:rPr>
        <w:t xml:space="preserve">О налогах и особенностях налогообложения отдельных категорий налогоплательщиков в Новосибирской области» и рекомендовать его к принятию во втором чтении с учетом поправок, сформированных в таблицу поправок №1 - поправки, рекомендуемые комитетом к принятию.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 w:cs="Calibri"/>
          <w:b/>
          <w:i/>
          <w:sz w:val="28"/>
          <w:szCs w:val="28"/>
        </w:rPr>
      </w:pPr>
      <w:r>
        <w:rPr>
          <w:rFonts w:ascii="Times New Roman" w:hAnsi="Times New Roman" w:cs="Calibri"/>
          <w:b/>
          <w:i/>
          <w:sz w:val="28"/>
          <w:szCs w:val="28"/>
        </w:rPr>
      </w:r>
      <w:r>
        <w:rPr>
          <w:rFonts w:ascii="Times New Roman" w:hAnsi="Times New Roman" w:cs="Calibri"/>
          <w:b/>
          <w:i/>
          <w:sz w:val="28"/>
          <w:szCs w:val="28"/>
        </w:rPr>
      </w:r>
      <w:r>
        <w:rPr>
          <w:rFonts w:ascii="Times New Roman" w:hAnsi="Times New Roman" w:cs="Calibri"/>
          <w:b/>
          <w:i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ГОЛОСОВАЛИ: </w:t>
      </w:r>
      <w:r>
        <w:rPr>
          <w:rFonts w:ascii="Times New Roman" w:hAnsi="Times New Roman"/>
          <w:b/>
          <w:color w:val="000000"/>
          <w:sz w:val="28"/>
          <w:szCs w:val="28"/>
        </w:rPr>
      </w:r>
      <w:r>
        <w:rPr>
          <w:rFonts w:ascii="Times New Roman" w:hAnsi="Times New Roman"/>
          <w:b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«За» – единогласно.</w:t>
      </w:r>
      <w:r>
        <w:rPr>
          <w:rFonts w:ascii="Times New Roman" w:hAnsi="Times New Roman"/>
          <w:color w:val="000000"/>
          <w:sz w:val="28"/>
          <w:szCs w:val="28"/>
        </w:rPr>
      </w:r>
      <w:r>
        <w:rPr>
          <w:rFonts w:ascii="Times New Roman" w:hAnsi="Times New Roman"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3. О прогнозе социально-экономического развития Новосибирской области на 2024 год и плановый период 2025 и 2026 годов. </w:t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</w:rPr>
        <w:t xml:space="preserve">Доклад: Решетников Лев Николаевич – министр экономического развития Новосибирской области</w:t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shd w:val="clear" w:color="auto" w:fill="ffffff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ВОПРОСЫ, ВЫСТУПЛЕНИЯ: </w:t>
      </w:r>
      <w:r>
        <w:rPr>
          <w:rFonts w:ascii="Times New Roman" w:hAnsi="Times New Roman"/>
          <w:color w:val="000000"/>
          <w:sz w:val="28"/>
          <w:szCs w:val="28"/>
        </w:rPr>
        <w:t xml:space="preserve">Диденко И.В., Голубенко В.Ю.</w:t>
      </w:r>
      <w:r>
        <w:rPr>
          <w:rFonts w:ascii="Times New Roman" w:hAnsi="Times New Roman"/>
          <w:color w:val="000000"/>
          <w:sz w:val="28"/>
          <w:szCs w:val="28"/>
        </w:rPr>
      </w:r>
      <w:r>
        <w:rPr>
          <w:rFonts w:ascii="Times New Roman" w:hAnsi="Times New Roman"/>
          <w:color w:val="000000"/>
          <w:sz w:val="28"/>
          <w:szCs w:val="28"/>
        </w:rPr>
      </w:r>
    </w:p>
    <w:p>
      <w:pPr>
        <w:ind w:firstLine="709"/>
        <w:jc w:val="both"/>
        <w:spacing w:after="0" w:line="240" w:lineRule="auto"/>
        <w:shd w:val="clear" w:color="auto" w:fill="ffffff"/>
        <w:rPr>
          <w:rFonts w:ascii="Times New Roman" w:hAnsi="Times New Roman"/>
          <w:b/>
          <w:bCs/>
          <w:i/>
          <w:color w:val="000000"/>
          <w:sz w:val="28"/>
          <w:szCs w:val="28"/>
        </w:rPr>
      </w:pPr>
      <w:r>
        <w:rPr>
          <w:rFonts w:ascii="Times New Roman" w:hAnsi="Times New Roman"/>
          <w:b/>
          <w:i/>
          <w:color w:val="000000"/>
          <w:sz w:val="28"/>
          <w:szCs w:val="28"/>
        </w:rPr>
      </w:r>
      <w:r>
        <w:rPr>
          <w:rFonts w:ascii="Times New Roman" w:hAnsi="Times New Roman"/>
          <w:b/>
          <w:i/>
          <w:color w:val="000000"/>
          <w:sz w:val="28"/>
          <w:szCs w:val="28"/>
        </w:rPr>
      </w:r>
    </w:p>
    <w:p>
      <w:pPr>
        <w:ind w:firstLine="709"/>
        <w:jc w:val="both"/>
        <w:spacing w:after="0" w:line="240" w:lineRule="auto"/>
        <w:shd w:val="clear" w:color="auto" w:fill="ffffff"/>
        <w:rPr>
          <w:rFonts w:ascii="Times New Roman" w:hAnsi="Times New Roman"/>
          <w:b/>
          <w:bCs/>
          <w:i/>
          <w:color w:val="000000"/>
          <w:sz w:val="28"/>
          <w:szCs w:val="28"/>
        </w:rPr>
      </w:pPr>
      <w:r>
        <w:rPr>
          <w:rFonts w:ascii="Times New Roman" w:hAnsi="Times New Roman"/>
          <w:b/>
          <w:i/>
          <w:color w:val="000000"/>
          <w:sz w:val="28"/>
          <w:szCs w:val="28"/>
        </w:rPr>
      </w:r>
      <w:r>
        <w:rPr>
          <w:rFonts w:ascii="Times New Roman" w:hAnsi="Times New Roman"/>
          <w:b/>
          <w:i/>
          <w:color w:val="000000"/>
          <w:sz w:val="28"/>
          <w:szCs w:val="28"/>
        </w:rPr>
      </w:r>
      <w:r>
        <w:rPr>
          <w:rFonts w:ascii="Times New Roman" w:hAnsi="Times New Roman"/>
          <w:b/>
          <w:bCs/>
          <w:i/>
          <w:color w:val="000000"/>
          <w:sz w:val="28"/>
          <w:szCs w:val="28"/>
        </w:rPr>
      </w:r>
    </w:p>
    <w:p>
      <w:pPr>
        <w:ind w:firstLine="709"/>
        <w:jc w:val="both"/>
        <w:spacing w:after="0" w:line="240" w:lineRule="auto"/>
        <w:shd w:val="clear" w:color="auto" w:fill="ffffff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РЕШИЛИ: </w:t>
      </w:r>
      <w:r>
        <w:rPr>
          <w:rFonts w:ascii="Times New Roman" w:hAnsi="Times New Roman"/>
          <w:b/>
          <w:color w:val="000000"/>
          <w:sz w:val="28"/>
          <w:szCs w:val="28"/>
        </w:rPr>
      </w:r>
      <w:r>
        <w:rPr>
          <w:rFonts w:ascii="Times New Roman" w:hAnsi="Times New Roman"/>
          <w:b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3.1. Принять к сведению информацию «О прогнозе социально-экономического развития Новосибирской области на 2024 год и плановый период 2025 и 2026 годов» к сведению.</w:t>
      </w:r>
      <w:r>
        <w:rPr>
          <w:rFonts w:ascii="Times New Roman" w:hAnsi="Times New Roman"/>
          <w:bCs/>
          <w:sz w:val="28"/>
          <w:szCs w:val="28"/>
        </w:rPr>
      </w:r>
      <w:r>
        <w:rPr>
          <w:rFonts w:ascii="Times New Roman" w:hAnsi="Times New Roman"/>
          <w:bCs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3.2. Рекомендовать сессии Законодательного Собрания Новосибирской области рассмотреть информацию о прогнозе социально-экономического развития Новосибирской области на 2024 год и плановый период 2025 и 2026 годов в рамках рассмотрения вопроса </w:t>
      </w:r>
      <w:r>
        <w:rPr>
          <w:rFonts w:ascii="Times New Roman" w:hAnsi="Times New Roman"/>
          <w:sz w:val="28"/>
          <w:szCs w:val="28"/>
        </w:rPr>
        <w:t xml:space="preserve">«Об областном бюджете Новосибирской области на 2024 год и плановый период 2025 и 2026 годов».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Calibri"/>
          <w:b/>
          <w:i/>
          <w:sz w:val="28"/>
          <w:szCs w:val="28"/>
        </w:rPr>
      </w:pPr>
      <w:r>
        <w:rPr>
          <w:rFonts w:ascii="Times New Roman" w:hAnsi="Times New Roman" w:cs="Calibri"/>
          <w:b/>
          <w:i/>
          <w:sz w:val="28"/>
          <w:szCs w:val="28"/>
        </w:rPr>
      </w:r>
      <w:r>
        <w:rPr>
          <w:rFonts w:ascii="Times New Roman" w:hAnsi="Times New Roman" w:cs="Calibri"/>
          <w:b/>
          <w:i/>
          <w:sz w:val="28"/>
          <w:szCs w:val="28"/>
        </w:rPr>
      </w:r>
      <w:r>
        <w:rPr>
          <w:rFonts w:ascii="Times New Roman" w:hAnsi="Times New Roman" w:cs="Calibri"/>
          <w:b/>
          <w:i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ГОЛОСОВАЛИ: </w:t>
      </w:r>
      <w:r>
        <w:rPr>
          <w:rFonts w:ascii="Times New Roman" w:hAnsi="Times New Roman"/>
          <w:b/>
          <w:color w:val="000000"/>
          <w:sz w:val="28"/>
          <w:szCs w:val="28"/>
        </w:rPr>
      </w:r>
      <w:r>
        <w:rPr>
          <w:rFonts w:ascii="Times New Roman" w:hAnsi="Times New Roman"/>
          <w:b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«За» – единогласно.</w:t>
      </w:r>
      <w:r>
        <w:rPr>
          <w:rFonts w:ascii="Times New Roman" w:hAnsi="Times New Roman"/>
          <w:color w:val="000000"/>
          <w:sz w:val="28"/>
          <w:szCs w:val="28"/>
        </w:rPr>
      </w:r>
      <w:r>
        <w:rPr>
          <w:rFonts w:ascii="Times New Roman" w:hAnsi="Times New Roman"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4. О проекте Закона Новосибирской области «Об областном бюджете Новосибирской области на 2024 год и плановый период 2025 и 2026 годов», первое чтение. </w:t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/>
          <w:i/>
          <w:i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Доклад: Голубенко Виталий Юрьевич </w:t>
      </w:r>
      <w:r>
        <w:rPr>
          <w:rFonts w:ascii="Times New Roman" w:hAnsi="Times New Roman"/>
          <w:i/>
          <w:sz w:val="28"/>
          <w:szCs w:val="28"/>
        </w:rPr>
        <w:t xml:space="preserve">–</w:t>
      </w:r>
      <w:r>
        <w:rPr>
          <w:rFonts w:ascii="Times New Roman" w:hAnsi="Times New Roman"/>
          <w:sz w:val="28"/>
          <w:szCs w:val="28"/>
        </w:rPr>
        <w:t xml:space="preserve"> заместитель Председателя Правительства Новосибирской области – министр финансов и налоговой политики Новосибирской области</w:t>
      </w:r>
      <w:r>
        <w:rPr>
          <w:rFonts w:ascii="Times New Roman" w:hAnsi="Times New Roman"/>
          <w:i/>
          <w:iCs/>
          <w:sz w:val="28"/>
          <w:szCs w:val="28"/>
        </w:rPr>
      </w:r>
      <w:r>
        <w:rPr>
          <w:rFonts w:ascii="Times New Roman" w:hAnsi="Times New Roman"/>
          <w:i/>
          <w:iCs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/>
          <w:i/>
          <w:i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Содоклад: </w:t>
      </w:r>
      <w:r>
        <w:rPr>
          <w:rFonts w:ascii="Times New Roman" w:hAnsi="Times New Roman"/>
          <w:sz w:val="28"/>
          <w:szCs w:val="28"/>
        </w:rPr>
        <w:t xml:space="preserve">Подковырин</w:t>
      </w:r>
      <w:r>
        <w:rPr>
          <w:rFonts w:ascii="Times New Roman" w:hAnsi="Times New Roman"/>
          <w:sz w:val="28"/>
          <w:szCs w:val="28"/>
        </w:rPr>
        <w:t xml:space="preserve"> Павел Викторович </w:t>
      </w:r>
      <w:r>
        <w:rPr>
          <w:rFonts w:ascii="Times New Roman" w:hAnsi="Times New Roman"/>
          <w:i/>
          <w:sz w:val="28"/>
          <w:szCs w:val="28"/>
        </w:rPr>
        <w:t xml:space="preserve">–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и.о</w:t>
      </w:r>
      <w:r>
        <w:rPr>
          <w:rFonts w:ascii="Times New Roman" w:hAnsi="Times New Roman"/>
          <w:sz w:val="28"/>
          <w:szCs w:val="28"/>
        </w:rPr>
        <w:t xml:space="preserve">. председателя Контрольно-счетной палаты Новосибирской области </w:t>
      </w:r>
      <w:r>
        <w:rPr>
          <w:rFonts w:ascii="Times New Roman" w:hAnsi="Times New Roman"/>
          <w:i/>
          <w:iCs/>
          <w:sz w:val="28"/>
          <w:szCs w:val="28"/>
        </w:rPr>
      </w:r>
      <w:r>
        <w:rPr>
          <w:rFonts w:ascii="Times New Roman" w:hAnsi="Times New Roman"/>
          <w:i/>
          <w:iCs/>
          <w:sz w:val="28"/>
          <w:szCs w:val="28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</w:r>
      <w:r>
        <w:rPr>
          <w:rFonts w:ascii="Times New Roman" w:hAnsi="Times New Roman"/>
          <w:b/>
          <w:color w:val="000000"/>
          <w:sz w:val="28"/>
          <w:szCs w:val="28"/>
        </w:rPr>
      </w:r>
      <w:r>
        <w:rPr>
          <w:rFonts w:ascii="Times New Roman" w:hAnsi="Times New Roman"/>
          <w:b/>
          <w:color w:val="000000"/>
          <w:sz w:val="28"/>
          <w:szCs w:val="28"/>
        </w:rPr>
      </w:r>
    </w:p>
    <w:p>
      <w:pPr>
        <w:ind w:firstLine="709"/>
        <w:jc w:val="both"/>
        <w:spacing w:after="0" w:line="240" w:lineRule="auto"/>
        <w:shd w:val="clear" w:color="auto" w:fill="ffffff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ВОПРОСЫ, ВЫСТУПЛЕНИЯ: </w:t>
      </w:r>
      <w:r>
        <w:rPr>
          <w:rFonts w:ascii="Times New Roman" w:hAnsi="Times New Roman"/>
          <w:color w:val="000000"/>
          <w:sz w:val="28"/>
          <w:szCs w:val="28"/>
        </w:rPr>
        <w:t xml:space="preserve">Диденко И.В., </w:t>
      </w:r>
      <w:r>
        <w:rPr>
          <w:rFonts w:ascii="Times New Roman" w:hAnsi="Times New Roman"/>
          <w:color w:val="000000"/>
          <w:sz w:val="28"/>
          <w:szCs w:val="28"/>
        </w:rPr>
        <w:t xml:space="preserve">Кальченко</w:t>
      </w:r>
      <w:r>
        <w:rPr>
          <w:rFonts w:ascii="Times New Roman" w:hAnsi="Times New Roman"/>
          <w:color w:val="000000"/>
          <w:sz w:val="28"/>
          <w:szCs w:val="28"/>
        </w:rPr>
        <w:t xml:space="preserve"> С.В., Колмаков А.В., Франчук Д.В., </w:t>
      </w:r>
      <w:r>
        <w:rPr>
          <w:rFonts w:ascii="Times New Roman" w:hAnsi="Times New Roman"/>
          <w:color w:val="000000"/>
          <w:sz w:val="28"/>
          <w:szCs w:val="28"/>
        </w:rPr>
        <w:t xml:space="preserve">Машкарин</w:t>
      </w:r>
      <w:r>
        <w:rPr>
          <w:rFonts w:ascii="Times New Roman" w:hAnsi="Times New Roman"/>
          <w:color w:val="000000"/>
          <w:sz w:val="28"/>
          <w:szCs w:val="28"/>
        </w:rPr>
        <w:t xml:space="preserve"> Н.В., Голубенко В.Ю., Савостьянов Ю.И., Николаев Ф.А., </w:t>
      </w:r>
      <w:r>
        <w:rPr>
          <w:rFonts w:ascii="Times New Roman" w:hAnsi="Times New Roman"/>
          <w:color w:val="000000"/>
          <w:sz w:val="28"/>
          <w:szCs w:val="28"/>
        </w:rPr>
        <w:t xml:space="preserve">Хальзов</w:t>
      </w:r>
      <w:r>
        <w:rPr>
          <w:rFonts w:ascii="Times New Roman" w:hAnsi="Times New Roman"/>
          <w:color w:val="000000"/>
          <w:sz w:val="28"/>
          <w:szCs w:val="28"/>
        </w:rPr>
        <w:t xml:space="preserve"> К.В., Миллер И.В., Архипов Д.Н., Козлов А.А., </w:t>
      </w:r>
      <w:r>
        <w:rPr>
          <w:rFonts w:ascii="Times New Roman" w:hAnsi="Times New Roman"/>
          <w:color w:val="000000"/>
          <w:sz w:val="28"/>
          <w:szCs w:val="28"/>
        </w:rPr>
        <w:t xml:space="preserve">Шимкив</w:t>
      </w:r>
      <w:r>
        <w:rPr>
          <w:rFonts w:ascii="Times New Roman" w:hAnsi="Times New Roman"/>
          <w:color w:val="000000"/>
          <w:sz w:val="28"/>
          <w:szCs w:val="28"/>
        </w:rPr>
        <w:t xml:space="preserve"> А.И. </w:t>
      </w:r>
      <w:r>
        <w:rPr>
          <w:rFonts w:ascii="Times New Roman" w:hAnsi="Times New Roman"/>
          <w:color w:val="000000"/>
          <w:sz w:val="28"/>
          <w:szCs w:val="28"/>
        </w:rPr>
      </w:r>
      <w:r>
        <w:rPr>
          <w:rFonts w:ascii="Times New Roman" w:hAnsi="Times New Roman"/>
          <w:color w:val="000000"/>
          <w:sz w:val="28"/>
          <w:szCs w:val="28"/>
        </w:rPr>
      </w:r>
    </w:p>
    <w:p>
      <w:pPr>
        <w:ind w:firstLine="709"/>
        <w:jc w:val="both"/>
        <w:spacing w:after="0" w:line="240" w:lineRule="auto"/>
        <w:shd w:val="clear" w:color="auto" w:fill="ffffff"/>
        <w:rPr>
          <w:rFonts w:ascii="Times New Roman" w:hAnsi="Times New Roman"/>
          <w:b/>
          <w:i/>
          <w:color w:val="000000"/>
          <w:sz w:val="28"/>
          <w:szCs w:val="28"/>
        </w:rPr>
      </w:pPr>
      <w:r>
        <w:rPr>
          <w:rFonts w:ascii="Times New Roman" w:hAnsi="Times New Roman"/>
          <w:b/>
          <w:i/>
          <w:color w:val="000000"/>
          <w:sz w:val="28"/>
          <w:szCs w:val="28"/>
        </w:rPr>
      </w:r>
      <w:r>
        <w:rPr>
          <w:rFonts w:ascii="Times New Roman" w:hAnsi="Times New Roman"/>
          <w:b/>
          <w:i/>
          <w:color w:val="000000"/>
          <w:sz w:val="28"/>
          <w:szCs w:val="28"/>
        </w:rPr>
      </w:r>
      <w:r>
        <w:rPr>
          <w:rFonts w:ascii="Times New Roman" w:hAnsi="Times New Roman"/>
          <w:b/>
          <w:i/>
          <w:color w:val="000000"/>
          <w:sz w:val="28"/>
          <w:szCs w:val="28"/>
        </w:rPr>
      </w:r>
    </w:p>
    <w:p>
      <w:pPr>
        <w:ind w:firstLine="709"/>
        <w:jc w:val="both"/>
        <w:spacing w:after="0" w:line="240" w:lineRule="auto"/>
        <w:shd w:val="clear" w:color="auto" w:fill="ffffff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РЕШИЛИ: </w:t>
      </w:r>
      <w:r>
        <w:rPr>
          <w:rFonts w:ascii="Times New Roman" w:hAnsi="Times New Roman"/>
          <w:b/>
          <w:color w:val="000000"/>
          <w:sz w:val="28"/>
          <w:szCs w:val="28"/>
        </w:rPr>
      </w:r>
      <w:r>
        <w:rPr>
          <w:rFonts w:ascii="Times New Roman" w:hAnsi="Times New Roman"/>
          <w:b/>
          <w:color w:val="000000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4.1</w:t>
      </w:r>
      <w:r>
        <w:rPr>
          <w:rFonts w:ascii="Times New Roman" w:hAnsi="Times New Roman"/>
          <w:color w:val="000000"/>
          <w:sz w:val="28"/>
          <w:szCs w:val="28"/>
        </w:rPr>
        <w:t xml:space="preserve">. Внести на рассмотрение сессии Законодательного Собрания Новосибирской области проект закона Новосибирской области «Об областном бюджете Новосибирской области на 2024 год и плановый период 2025 и 2026 годов» и рекомендовать его к принятию в первом чтении.</w:t>
      </w:r>
      <w:r>
        <w:rPr>
          <w:rFonts w:ascii="Times New Roman" w:hAnsi="Times New Roman"/>
          <w:color w:val="000000"/>
          <w:sz w:val="28"/>
          <w:szCs w:val="28"/>
        </w:rPr>
      </w:r>
      <w:r>
        <w:rPr>
          <w:rFonts w:ascii="Times New Roman" w:hAnsi="Times New Roman"/>
          <w:color w:val="000000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4.2. Предложить установить срок подачи поправок до 4 декабря 2023 года.</w:t>
      </w:r>
      <w:r>
        <w:rPr>
          <w:rFonts w:ascii="Times New Roman" w:hAnsi="Times New Roman"/>
          <w:color w:val="000000"/>
          <w:sz w:val="28"/>
          <w:szCs w:val="28"/>
        </w:rPr>
      </w:r>
      <w:r>
        <w:rPr>
          <w:rFonts w:ascii="Times New Roman" w:hAnsi="Times New Roman"/>
          <w:color w:val="000000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4.3. Рекомендовать Правительству Новосибирской области:</w:t>
      </w:r>
      <w:r>
        <w:rPr>
          <w:rFonts w:ascii="Times New Roman" w:hAnsi="Times New Roman"/>
          <w:color w:val="000000"/>
          <w:sz w:val="28"/>
          <w:szCs w:val="28"/>
        </w:rPr>
      </w:r>
      <w:r>
        <w:rPr>
          <w:rFonts w:ascii="Times New Roman" w:hAnsi="Times New Roman"/>
          <w:color w:val="000000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1) в связи с существенным увеличением государственного внутреннего долга Новосибирской области, расходов областного бюджета Новосибирской области на его обслуживание, а также принятых </w:t>
      </w:r>
      <w:r>
        <w:rPr>
          <w:rFonts w:ascii="Times New Roman" w:hAnsi="Times New Roman"/>
          <w:color w:val="000000"/>
          <w:sz w:val="28"/>
          <w:szCs w:val="28"/>
        </w:rPr>
        <w:t xml:space="preserve">Новосибирской областью долговых обязательств будущих периодов, особое внимание уделять эффективности расходования бюджетных средств;</w:t>
      </w:r>
      <w:r>
        <w:rPr>
          <w:rFonts w:ascii="Times New Roman" w:hAnsi="Times New Roman"/>
          <w:color w:val="000000"/>
          <w:sz w:val="28"/>
          <w:szCs w:val="28"/>
        </w:rPr>
      </w:r>
      <w:r>
        <w:rPr>
          <w:rFonts w:ascii="Times New Roman" w:hAnsi="Times New Roman"/>
          <w:color w:val="000000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sz w:val="28"/>
          <w:szCs w:val="28"/>
        </w:rPr>
      </w:r>
      <w:bookmarkStart w:id="0" w:name="_gjdgxs"/>
      <w:r>
        <w:rPr>
          <w:sz w:val="28"/>
          <w:szCs w:val="28"/>
        </w:rPr>
      </w:r>
      <w:bookmarkEnd w:id="0"/>
      <w:r>
        <w:rPr>
          <w:rFonts w:ascii="Times New Roman" w:hAnsi="Times New Roman"/>
          <w:color w:val="000000"/>
          <w:sz w:val="28"/>
          <w:szCs w:val="28"/>
        </w:rPr>
        <w:t xml:space="preserve">2) разработать мероприятия по приведению объемов бюджетных ассигнований в инвестиционный фонд Новосибирской области в соответствие с предельным значением, установленным Законом Новосибирской области «Об инвестиционном фонде Новосибирской области», </w:t>
      </w:r>
      <w:r>
        <w:rPr>
          <w:rFonts w:ascii="Times New Roman" w:hAnsi="Times New Roman"/>
          <w:color w:val="000000"/>
          <w:sz w:val="28"/>
          <w:szCs w:val="28"/>
        </w:rPr>
        <w:t xml:space="preserve">за счет оптимизации перечня объектов, реализуемых с использованием механизмов государственно-частного партнерства, и объемов их финансирования. Направить в Законодательное Собрание Новосибирской области указанный перечень мероприятий до 31 марта 2024 года;</w:t>
      </w:r>
      <w:r>
        <w:rPr>
          <w:rFonts w:ascii="Times New Roman" w:hAnsi="Times New Roman"/>
          <w:color w:val="000000"/>
          <w:sz w:val="28"/>
          <w:szCs w:val="28"/>
        </w:rPr>
      </w:r>
      <w:r>
        <w:rPr>
          <w:rFonts w:ascii="Times New Roman" w:hAnsi="Times New Roman"/>
          <w:color w:val="000000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3</w:t>
      </w:r>
      <w:r>
        <w:rPr>
          <w:rFonts w:ascii="Times New Roman" w:hAnsi="Times New Roman"/>
          <w:color w:val="000000"/>
          <w:sz w:val="28"/>
          <w:szCs w:val="28"/>
        </w:rPr>
        <w:t xml:space="preserve">) информировать депутатов Законодательного Собрания Новосибирской области о планируемом перераспределении бюджетных ассигнований на капитальные вложения в объекты государственной (муниципальной) собственности, расположенные на их избирательных округах, меж</w:t>
      </w:r>
      <w:r>
        <w:rPr>
          <w:rFonts w:ascii="Times New Roman" w:hAnsi="Times New Roman"/>
          <w:color w:val="000000"/>
          <w:sz w:val="28"/>
          <w:szCs w:val="28"/>
        </w:rPr>
        <w:t xml:space="preserve">ду текущим финансовым годом и плановым периодом, в случае внесения изменений в показатели сводной бюджетной росписи без внесения изменений в закон Новосибирской области об областном бюджете Новосибирской области на текущий финансовый год и плановый период;</w:t>
      </w:r>
      <w:r>
        <w:rPr>
          <w:rFonts w:ascii="Times New Roman" w:hAnsi="Times New Roman"/>
          <w:color w:val="000000"/>
          <w:sz w:val="28"/>
          <w:szCs w:val="28"/>
        </w:rPr>
      </w:r>
      <w:r>
        <w:rPr>
          <w:rFonts w:ascii="Times New Roman" w:hAnsi="Times New Roman"/>
          <w:color w:val="000000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4) при подготовке поправок ко второму чтению предусмотреть предоставление в 2024 году бюдж</w:t>
      </w:r>
      <w:r>
        <w:rPr>
          <w:rFonts w:ascii="Times New Roman" w:hAnsi="Times New Roman"/>
          <w:color w:val="000000"/>
          <w:sz w:val="28"/>
          <w:szCs w:val="28"/>
        </w:rPr>
        <w:t xml:space="preserve">етных ассигнований городским округам Новосибирской области на благоустройство территорий соразмерно численности населения (по аналогии со средствами, зарезервированными на эти цели в резервном фонде Правительства Новосибирской области для г. Новосибирска);</w:t>
      </w:r>
      <w:r>
        <w:rPr>
          <w:rFonts w:ascii="Times New Roman" w:hAnsi="Times New Roman"/>
          <w:color w:val="000000"/>
          <w:sz w:val="28"/>
          <w:szCs w:val="28"/>
        </w:rPr>
      </w:r>
      <w:r>
        <w:rPr>
          <w:rFonts w:ascii="Times New Roman" w:hAnsi="Times New Roman"/>
          <w:color w:val="000000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5) при подготовке проекта закона Новосибирской области «Об областном бюджете Новосибирской области</w:t>
      </w:r>
      <w:r>
        <w:rPr>
          <w:rFonts w:ascii="Times New Roman" w:hAnsi="Times New Roman"/>
          <w:color w:val="000000"/>
          <w:sz w:val="28"/>
          <w:szCs w:val="28"/>
        </w:rPr>
        <w:t xml:space="preserve"> на 2024 год и плановый период 2025 и 2026 годов» к принятию во втором чтении проработать решения комитета Законодательного Собрания Новосибирской области по бюджетной, финансово-экономической политике и собственности, принятые по вопросам областного бюдже</w:t>
      </w:r>
      <w:r>
        <w:rPr>
          <w:rFonts w:ascii="Times New Roman" w:hAnsi="Times New Roman"/>
          <w:color w:val="000000"/>
          <w:sz w:val="28"/>
          <w:szCs w:val="28"/>
        </w:rPr>
        <w:t xml:space="preserve">та Новосибирской области в течение седьмого созыва, для их исполнения в части предложений Правительству Новосибирской области, областным исполнительным органам государственной власти и по итогам рассмотрения проинформировать комитет до 1 декабря 2023 года.</w:t>
      </w:r>
      <w:r>
        <w:rPr>
          <w:rFonts w:ascii="Times New Roman" w:hAnsi="Times New Roman"/>
          <w:color w:val="000000"/>
          <w:sz w:val="28"/>
          <w:szCs w:val="28"/>
        </w:rPr>
      </w:r>
      <w:r>
        <w:rPr>
          <w:rFonts w:ascii="Times New Roman" w:hAnsi="Times New Roman"/>
          <w:color w:val="000000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4.4. Рекомендовать министерству финансов и налоговой политики Новосибирской области проинформировать комитет Законодательного Собрания Новосибирской области по бюджетной, финансово-эко</w:t>
      </w:r>
      <w:r>
        <w:rPr>
          <w:rFonts w:ascii="Times New Roman" w:hAnsi="Times New Roman"/>
          <w:color w:val="000000"/>
          <w:sz w:val="28"/>
          <w:szCs w:val="28"/>
        </w:rPr>
        <w:t xml:space="preserve">номической политике и собственности о величине индексации ежемесячных и единовременных денежных выплат, установленных в Законе Новосибирской области «О мерах социальной поддержки отдельных категорий граждан, проживающих в Новосибирской области», в проекте </w:t>
      </w:r>
      <w:r>
        <w:rPr>
          <w:rFonts w:ascii="Times New Roman" w:hAnsi="Times New Roman"/>
          <w:color w:val="000000"/>
          <w:sz w:val="28"/>
          <w:szCs w:val="28"/>
        </w:rPr>
        <w:t xml:space="preserve">закона Новосибирской области «Об областном бюджете Новосибирской области на 2024 год и плановый период 2025 и 2026 годов».</w:t>
      </w:r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</w:r>
      <w:r>
        <w:rPr>
          <w:rFonts w:ascii="Times New Roman" w:hAnsi="Times New Roman"/>
          <w:color w:val="000000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 w:cs="Calibri"/>
          <w:b/>
          <w:i/>
          <w:sz w:val="28"/>
          <w:szCs w:val="28"/>
        </w:rPr>
      </w:pPr>
      <w:r>
        <w:rPr>
          <w:rFonts w:ascii="Times New Roman" w:hAnsi="Times New Roman" w:cs="Calibri"/>
          <w:b/>
          <w:i/>
          <w:sz w:val="28"/>
          <w:szCs w:val="28"/>
        </w:rPr>
      </w:r>
      <w:r>
        <w:rPr>
          <w:rFonts w:ascii="Times New Roman" w:hAnsi="Times New Roman" w:cs="Calibri"/>
          <w:b/>
          <w:i/>
          <w:sz w:val="28"/>
          <w:szCs w:val="28"/>
        </w:rPr>
      </w:r>
      <w:r>
        <w:rPr>
          <w:rFonts w:ascii="Times New Roman" w:hAnsi="Times New Roman" w:cs="Calibri"/>
          <w:b/>
          <w:i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ГОЛОСОВАЛИ: </w:t>
      </w:r>
      <w:r>
        <w:rPr>
          <w:rFonts w:ascii="Times New Roman" w:hAnsi="Times New Roman"/>
          <w:b/>
          <w:color w:val="000000"/>
          <w:sz w:val="28"/>
          <w:szCs w:val="28"/>
        </w:rPr>
      </w:r>
      <w:r>
        <w:rPr>
          <w:rFonts w:ascii="Times New Roman" w:hAnsi="Times New Roman"/>
          <w:b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«За» – единогласно.</w:t>
      </w:r>
      <w:r>
        <w:rPr>
          <w:rFonts w:ascii="Times New Roman" w:hAnsi="Times New Roman"/>
          <w:color w:val="000000"/>
          <w:sz w:val="28"/>
          <w:szCs w:val="28"/>
        </w:rPr>
      </w:r>
      <w:r>
        <w:rPr>
          <w:rFonts w:ascii="Times New Roman" w:hAnsi="Times New Roman"/>
          <w:color w:val="000000"/>
          <w:sz w:val="28"/>
          <w:szCs w:val="28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5. О сводном заключении комитета по бюджетной, финансово-экономической политике и собственности по проекту закона Новосибирской области «Об областном бюджете Новосибирской области на 2024 год и плановый период 2025 и 2026 годов».</w:t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Доклад: Николаев Федор Анатольевич </w:t>
      </w:r>
      <w:r>
        <w:rPr>
          <w:rFonts w:ascii="Times New Roman" w:hAnsi="Times New Roman"/>
          <w:i/>
          <w:sz w:val="28"/>
          <w:szCs w:val="28"/>
        </w:rPr>
        <w:t xml:space="preserve">–</w:t>
      </w:r>
      <w:r>
        <w:rPr>
          <w:rFonts w:ascii="Times New Roman" w:hAnsi="Times New Roman"/>
          <w:sz w:val="28"/>
          <w:szCs w:val="28"/>
        </w:rPr>
        <w:t xml:space="preserve"> председатель комитета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/>
          <w:b/>
          <w:bCs/>
          <w:i/>
          <w:color w:val="000000"/>
          <w:sz w:val="28"/>
          <w:szCs w:val="28"/>
        </w:rPr>
      </w:pPr>
      <w:r>
        <w:rPr>
          <w:rFonts w:ascii="Times New Roman" w:hAnsi="Times New Roman"/>
          <w:b/>
          <w:i/>
          <w:color w:val="000000"/>
          <w:sz w:val="28"/>
          <w:szCs w:val="28"/>
        </w:rPr>
      </w:r>
      <w:r>
        <w:rPr>
          <w:rFonts w:ascii="Times New Roman" w:hAnsi="Times New Roman"/>
          <w:b/>
          <w:i/>
          <w:color w:val="000000"/>
          <w:sz w:val="28"/>
          <w:szCs w:val="28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/>
          <w:b/>
          <w:bCs/>
          <w:i/>
          <w:color w:val="000000"/>
          <w:sz w:val="28"/>
          <w:szCs w:val="28"/>
        </w:rPr>
      </w:pPr>
      <w:r>
        <w:rPr>
          <w:rFonts w:ascii="Times New Roman" w:hAnsi="Times New Roman"/>
          <w:b/>
          <w:i/>
          <w:color w:val="000000"/>
          <w:sz w:val="28"/>
          <w:szCs w:val="28"/>
        </w:rPr>
      </w:r>
      <w:r>
        <w:rPr>
          <w:rFonts w:ascii="Times New Roman" w:hAnsi="Times New Roman"/>
          <w:b/>
          <w:i/>
          <w:color w:val="000000"/>
          <w:sz w:val="28"/>
          <w:szCs w:val="28"/>
        </w:rPr>
      </w:r>
      <w:r>
        <w:rPr>
          <w:rFonts w:ascii="Times New Roman" w:hAnsi="Times New Roman"/>
          <w:b/>
          <w:bCs/>
          <w:i/>
          <w:color w:val="000000"/>
          <w:sz w:val="28"/>
          <w:szCs w:val="28"/>
        </w:rPr>
      </w:r>
    </w:p>
    <w:p>
      <w:pPr>
        <w:ind w:firstLine="709"/>
        <w:jc w:val="both"/>
        <w:spacing w:after="0" w:line="240" w:lineRule="auto"/>
        <w:shd w:val="clear" w:color="auto" w:fill="ffffff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РЕШИЛИ: </w:t>
      </w:r>
      <w:r>
        <w:rPr>
          <w:rFonts w:ascii="Times New Roman" w:hAnsi="Times New Roman"/>
          <w:b/>
          <w:color w:val="000000"/>
          <w:sz w:val="28"/>
          <w:szCs w:val="28"/>
        </w:rPr>
      </w:r>
      <w:r>
        <w:rPr>
          <w:rFonts w:ascii="Times New Roman" w:hAnsi="Times New Roman"/>
          <w:b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5.1. Согласиться с выводами, изложенными в сводном заключении комитета З</w:t>
      </w:r>
      <w:r>
        <w:rPr>
          <w:rFonts w:ascii="Times New Roman" w:hAnsi="Times New Roman"/>
          <w:bCs/>
          <w:sz w:val="28"/>
          <w:szCs w:val="28"/>
        </w:rPr>
        <w:t xml:space="preserve">аконодательного Собрания Новосибирской области по бюджетной, финансово-экономической политике и собственности на проект закона Новосибирской области «Об областном бюджете Новосибирской области на 2024 год и плановый период 2025 и 2026 годов» (прилагается).</w:t>
      </w:r>
      <w:r>
        <w:rPr>
          <w:rFonts w:ascii="Times New Roman" w:hAnsi="Times New Roman"/>
          <w:bCs/>
          <w:sz w:val="28"/>
          <w:szCs w:val="28"/>
        </w:rPr>
      </w:r>
      <w:r>
        <w:rPr>
          <w:rFonts w:ascii="Times New Roman" w:hAnsi="Times New Roman"/>
          <w:bCs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5.2. Поручить выступи</w:t>
      </w:r>
      <w:r>
        <w:rPr>
          <w:rFonts w:ascii="Times New Roman" w:hAnsi="Times New Roman"/>
          <w:bCs/>
          <w:sz w:val="28"/>
          <w:szCs w:val="28"/>
        </w:rPr>
        <w:t xml:space="preserve">ть с выводами сводного заключения на сессии Законодательного Собрания Новосибирской области Николаеву Федору Анатольевичу, председателю комитета Законодательного Собрания Новосибирской области по бюджетной, финансово-экономической политике и собственности.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 w:cs="Calibri"/>
          <w:b/>
          <w:i/>
          <w:sz w:val="28"/>
          <w:szCs w:val="28"/>
        </w:rPr>
      </w:pPr>
      <w:r>
        <w:rPr>
          <w:rFonts w:ascii="Times New Roman" w:hAnsi="Times New Roman" w:cs="Calibri"/>
          <w:b/>
          <w:i/>
          <w:sz w:val="28"/>
          <w:szCs w:val="28"/>
        </w:rPr>
      </w:r>
      <w:r>
        <w:rPr>
          <w:rFonts w:ascii="Times New Roman" w:hAnsi="Times New Roman" w:cs="Calibri"/>
          <w:b/>
          <w:i/>
          <w:sz w:val="28"/>
          <w:szCs w:val="28"/>
        </w:rPr>
      </w:r>
      <w:r>
        <w:rPr>
          <w:rFonts w:ascii="Times New Roman" w:hAnsi="Times New Roman" w:cs="Calibri"/>
          <w:b/>
          <w:i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ГОЛОСОВАЛИ: </w:t>
      </w:r>
      <w:r>
        <w:rPr>
          <w:rFonts w:ascii="Times New Roman" w:hAnsi="Times New Roman"/>
          <w:b/>
          <w:color w:val="000000"/>
          <w:sz w:val="28"/>
          <w:szCs w:val="28"/>
        </w:rPr>
      </w:r>
      <w:r>
        <w:rPr>
          <w:rFonts w:ascii="Times New Roman" w:hAnsi="Times New Roman"/>
          <w:b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«За» - единогласно.</w:t>
      </w:r>
      <w:r>
        <w:rPr>
          <w:rFonts w:ascii="Times New Roman" w:hAnsi="Times New Roman"/>
          <w:color w:val="000000"/>
          <w:sz w:val="28"/>
          <w:szCs w:val="28"/>
        </w:rPr>
      </w:r>
      <w:r>
        <w:rPr>
          <w:rFonts w:ascii="Times New Roman" w:hAnsi="Times New Roman"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</w:r>
      <w:r>
        <w:rPr>
          <w:rFonts w:ascii="Times New Roman" w:hAnsi="Times New Roman"/>
          <w:color w:val="000000"/>
          <w:sz w:val="28"/>
          <w:szCs w:val="28"/>
        </w:rPr>
      </w:r>
      <w:r>
        <w:rPr>
          <w:rFonts w:ascii="Times New Roman" w:hAnsi="Times New Roman"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</w:r>
      <w:r>
        <w:rPr>
          <w:rFonts w:ascii="Times New Roman" w:hAnsi="Times New Roman"/>
          <w:color w:val="000000"/>
          <w:sz w:val="28"/>
          <w:szCs w:val="28"/>
        </w:rPr>
      </w:r>
      <w:r>
        <w:rPr>
          <w:rFonts w:ascii="Times New Roman" w:hAnsi="Times New Roman"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6. О проекте постановления Законодательного Собрания Новосибирской области «Об областном бюджете Новосибирской области на 2024 год и плановый период 2025 и 2026 годов».</w:t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Доклад: Николаев Федор Анатольевич </w:t>
      </w:r>
      <w:r>
        <w:rPr>
          <w:rFonts w:ascii="Times New Roman" w:hAnsi="Times New Roman"/>
          <w:i/>
          <w:sz w:val="28"/>
          <w:szCs w:val="28"/>
        </w:rPr>
        <w:t xml:space="preserve">–</w:t>
      </w:r>
      <w:r>
        <w:rPr>
          <w:rFonts w:ascii="Times New Roman" w:hAnsi="Times New Roman"/>
          <w:sz w:val="28"/>
          <w:szCs w:val="28"/>
        </w:rPr>
        <w:t xml:space="preserve"> председатель комитета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right="225"/>
        <w:jc w:val="both"/>
        <w:spacing w:after="0" w:line="240" w:lineRule="auto"/>
        <w:rPr>
          <w:rFonts w:ascii="Times New Roman" w:hAnsi="Times New Roman" w:cs="Calibri"/>
          <w:i/>
          <w:sz w:val="28"/>
          <w:szCs w:val="28"/>
        </w:rPr>
      </w:pPr>
      <w:r>
        <w:rPr>
          <w:rFonts w:ascii="Times New Roman" w:hAnsi="Times New Roman" w:cs="Calibri"/>
          <w:i/>
          <w:sz w:val="28"/>
          <w:szCs w:val="28"/>
        </w:rPr>
      </w:r>
      <w:r>
        <w:rPr>
          <w:rFonts w:ascii="Times New Roman" w:hAnsi="Times New Roman" w:cs="Calibri"/>
          <w:i/>
          <w:sz w:val="28"/>
          <w:szCs w:val="28"/>
        </w:rPr>
      </w:r>
      <w:r>
        <w:rPr>
          <w:rFonts w:ascii="Times New Roman" w:hAnsi="Times New Roman" w:cs="Calibri"/>
          <w:i/>
          <w:sz w:val="28"/>
          <w:szCs w:val="28"/>
        </w:rPr>
      </w:r>
    </w:p>
    <w:p>
      <w:pPr>
        <w:ind w:firstLine="709"/>
        <w:jc w:val="both"/>
        <w:spacing w:after="0" w:line="240" w:lineRule="auto"/>
        <w:shd w:val="clear" w:color="auto" w:fill="ffffff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РЕШИЛИ: </w:t>
      </w:r>
      <w:r>
        <w:rPr>
          <w:rFonts w:ascii="Times New Roman" w:hAnsi="Times New Roman"/>
          <w:b/>
          <w:color w:val="000000"/>
          <w:sz w:val="28"/>
          <w:szCs w:val="28"/>
        </w:rPr>
      </w:r>
      <w:r>
        <w:rPr>
          <w:rFonts w:ascii="Times New Roman" w:hAnsi="Times New Roman"/>
          <w:b/>
          <w:color w:val="000000"/>
          <w:sz w:val="28"/>
          <w:szCs w:val="28"/>
        </w:rPr>
      </w:r>
    </w:p>
    <w:p>
      <w:pPr>
        <w:ind w:firstLine="708"/>
        <w:jc w:val="both"/>
        <w:spacing w:after="12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Включить в проект постановления Законодательного Собрания Новосибирской области «Об областном бюджете Новосибирской области на 2024 год и плановый период 2025 и 2026 годов» (прилаг</w:t>
      </w:r>
      <w:r>
        <w:rPr>
          <w:rFonts w:ascii="Times New Roman" w:hAnsi="Times New Roman"/>
          <w:sz w:val="28"/>
          <w:szCs w:val="28"/>
        </w:rPr>
        <w:t xml:space="preserve">ается) рекомендации Правительству Новосибирской области, сформированные по итогам проведения 9 ноября 2023 года публичных слушаний по проекту закона Новосибирской области «Об областном бюджете Новосибирской области на 2024 год и плановый период 2025 и 2026</w:t>
      </w:r>
      <w:bookmarkStart w:id="1" w:name="undefined"/>
      <w:r>
        <w:rPr>
          <w:sz w:val="28"/>
          <w:szCs w:val="28"/>
        </w:rPr>
      </w:r>
      <w:bookmarkEnd w:id="1"/>
      <w:r>
        <w:rPr>
          <w:rFonts w:ascii="Times New Roman" w:hAnsi="Times New Roman"/>
          <w:sz w:val="28"/>
          <w:szCs w:val="28"/>
        </w:rPr>
        <w:t xml:space="preserve"> годов».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 w:cs="Calibri"/>
          <w:b/>
          <w:i/>
          <w:sz w:val="28"/>
          <w:szCs w:val="28"/>
        </w:rPr>
      </w:pPr>
      <w:r>
        <w:rPr>
          <w:rFonts w:ascii="Times New Roman" w:hAnsi="Times New Roman" w:cs="Calibri"/>
          <w:b/>
          <w:i/>
          <w:sz w:val="28"/>
          <w:szCs w:val="28"/>
        </w:rPr>
      </w:r>
      <w:r>
        <w:rPr>
          <w:rFonts w:ascii="Times New Roman" w:hAnsi="Times New Roman" w:cs="Calibri"/>
          <w:b/>
          <w:i/>
          <w:sz w:val="28"/>
          <w:szCs w:val="28"/>
        </w:rPr>
      </w:r>
      <w:r>
        <w:rPr>
          <w:rFonts w:ascii="Times New Roman" w:hAnsi="Times New Roman" w:cs="Calibri"/>
          <w:b/>
          <w:i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ГОЛОСОВАЛИ: </w:t>
      </w:r>
      <w:r>
        <w:rPr>
          <w:rFonts w:ascii="Times New Roman" w:hAnsi="Times New Roman"/>
          <w:b/>
          <w:color w:val="000000"/>
          <w:sz w:val="28"/>
          <w:szCs w:val="28"/>
        </w:rPr>
      </w:r>
      <w:r>
        <w:rPr>
          <w:rFonts w:ascii="Times New Roman" w:hAnsi="Times New Roman"/>
          <w:b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«За» - единогласно.</w:t>
      </w:r>
      <w:r>
        <w:rPr>
          <w:rFonts w:ascii="Times New Roman" w:hAnsi="Times New Roman"/>
          <w:color w:val="000000"/>
          <w:sz w:val="28"/>
          <w:szCs w:val="28"/>
        </w:rPr>
      </w:r>
      <w:r>
        <w:rPr>
          <w:rFonts w:ascii="Times New Roman" w:hAnsi="Times New Roman"/>
          <w:color w:val="000000"/>
          <w:sz w:val="28"/>
          <w:szCs w:val="28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</w:r>
      <w:r>
        <w:rPr>
          <w:rFonts w:ascii="Times New Roman" w:hAnsi="Times New Roman"/>
          <w:b/>
          <w:i/>
          <w:sz w:val="28"/>
          <w:szCs w:val="28"/>
        </w:rPr>
      </w:r>
      <w:r>
        <w:rPr>
          <w:rFonts w:ascii="Times New Roman" w:hAnsi="Times New Roman"/>
          <w:b/>
          <w:i/>
          <w:sz w:val="28"/>
          <w:szCs w:val="28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</w:r>
      <w:r>
        <w:rPr>
          <w:rFonts w:ascii="Times New Roman" w:hAnsi="Times New Roman"/>
          <w:b/>
          <w:i/>
          <w:sz w:val="28"/>
          <w:szCs w:val="28"/>
        </w:rPr>
      </w:r>
      <w:r>
        <w:rPr>
          <w:rFonts w:ascii="Times New Roman" w:hAnsi="Times New Roman"/>
          <w:b/>
          <w:i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7. </w:t>
      </w:r>
      <w:hyperlink r:id="rId11" w:tooltip="https://old.nso.ru/php/sovetprav_files/files/Zacon1%282%29.docx" w:history="1">
        <w:r>
          <w:rPr>
            <w:rStyle w:val="867"/>
            <w:rFonts w:ascii="Times New Roman" w:hAnsi="Times New Roman"/>
            <w:b/>
            <w:bCs/>
            <w:color w:val="000000"/>
            <w:sz w:val="28"/>
            <w:szCs w:val="28"/>
            <w:u w:val="none"/>
          </w:rPr>
          <w:t xml:space="preserve">О проекте закона Новосибирской области «О приостановлении действия частей 2 и 2.1 статьи 22 Закона Новосибирской области «О бюджетном процессе в Новосибирской области» и регулировании отдельных бюджетных правоотношений в Новосибирской области»</w:t>
        </w:r>
      </w:hyperlink>
      <w:r>
        <w:rPr>
          <w:rStyle w:val="893"/>
          <w:rFonts w:ascii="Times New Roman" w:hAnsi="Times New Roman"/>
          <w:sz w:val="28"/>
          <w:szCs w:val="28"/>
        </w:rPr>
        <w:t xml:space="preserve">, первое чтение.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Доклад: Голубенко Виталий Юрьевич </w:t>
      </w:r>
      <w:r>
        <w:rPr>
          <w:rFonts w:ascii="Times New Roman" w:hAnsi="Times New Roman"/>
          <w:i/>
          <w:sz w:val="28"/>
          <w:szCs w:val="28"/>
        </w:rPr>
        <w:t xml:space="preserve">–</w:t>
      </w:r>
      <w:r>
        <w:rPr>
          <w:rFonts w:ascii="Times New Roman" w:hAnsi="Times New Roman"/>
          <w:sz w:val="28"/>
          <w:szCs w:val="28"/>
        </w:rPr>
        <w:t xml:space="preserve"> заместитель Председателя Правительства Новосибирской области – министр финансов и налоговой политики Новосибирской области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right="225"/>
        <w:jc w:val="both"/>
        <w:spacing w:after="0" w:line="240" w:lineRule="auto"/>
        <w:rPr>
          <w:rFonts w:ascii="Times New Roman" w:hAnsi="Times New Roman" w:cs="Calibri"/>
          <w:bCs/>
          <w:i/>
          <w:sz w:val="28"/>
          <w:szCs w:val="28"/>
        </w:rPr>
      </w:pPr>
      <w:r>
        <w:rPr>
          <w:rFonts w:ascii="Times New Roman" w:hAnsi="Times New Roman" w:cs="Calibri"/>
          <w:i/>
          <w:sz w:val="28"/>
          <w:szCs w:val="28"/>
        </w:rPr>
      </w:r>
      <w:r>
        <w:rPr>
          <w:rFonts w:ascii="Times New Roman" w:hAnsi="Times New Roman" w:cs="Calibri"/>
          <w:i/>
          <w:sz w:val="28"/>
          <w:szCs w:val="28"/>
        </w:rPr>
      </w:r>
    </w:p>
    <w:p>
      <w:pPr>
        <w:ind w:right="225"/>
        <w:jc w:val="both"/>
        <w:spacing w:after="0" w:line="240" w:lineRule="auto"/>
        <w:rPr>
          <w:rFonts w:ascii="Times New Roman" w:hAnsi="Times New Roman" w:cs="Calibri"/>
          <w:bCs/>
          <w:i/>
          <w:sz w:val="28"/>
          <w:szCs w:val="28"/>
        </w:rPr>
      </w:pPr>
      <w:r>
        <w:rPr>
          <w:rFonts w:ascii="Times New Roman" w:hAnsi="Times New Roman" w:cs="Calibri"/>
          <w:bCs/>
          <w:i/>
          <w:sz w:val="28"/>
          <w:szCs w:val="28"/>
        </w:rPr>
      </w:r>
      <w:r>
        <w:rPr>
          <w:rFonts w:ascii="Times New Roman" w:hAnsi="Times New Roman" w:cs="Calibri"/>
          <w:bCs/>
          <w:i/>
          <w:sz w:val="28"/>
          <w:szCs w:val="28"/>
        </w:rPr>
      </w:r>
    </w:p>
    <w:p>
      <w:pPr>
        <w:ind w:right="225"/>
        <w:jc w:val="both"/>
        <w:spacing w:after="0" w:line="240" w:lineRule="auto"/>
        <w:rPr>
          <w:rFonts w:ascii="Times New Roman" w:hAnsi="Times New Roman" w:cs="Calibri"/>
          <w:bCs/>
          <w:i/>
          <w:sz w:val="28"/>
          <w:szCs w:val="28"/>
        </w:rPr>
      </w:pPr>
      <w:r>
        <w:rPr>
          <w:rFonts w:ascii="Times New Roman" w:hAnsi="Times New Roman" w:cs="Calibri"/>
          <w:i/>
          <w:sz w:val="28"/>
          <w:szCs w:val="28"/>
        </w:rPr>
      </w:r>
      <w:r>
        <w:rPr>
          <w:rFonts w:ascii="Times New Roman" w:hAnsi="Times New Roman" w:cs="Calibri"/>
          <w:i/>
          <w:sz w:val="28"/>
          <w:szCs w:val="28"/>
        </w:rPr>
      </w:r>
      <w:r>
        <w:rPr>
          <w:rFonts w:ascii="Times New Roman" w:hAnsi="Times New Roman" w:cs="Calibri"/>
          <w:bCs/>
          <w:i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РЕШИЛИ: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Внести на рассмотрение сессии Законодательного Собрания Новосибирской области проект закона Новосибирской обла</w:t>
      </w:r>
      <w:r>
        <w:rPr>
          <w:rFonts w:ascii="Times New Roman" w:hAnsi="Times New Roman"/>
          <w:sz w:val="28"/>
          <w:szCs w:val="28"/>
        </w:rPr>
        <w:t xml:space="preserve">сти «О приостановлении действия частей 2 и 2.1 статьи 22 Закона Новосибирской области «О бюджетном процессе в Новосибирской области» и регулировании отдельных бюджетных правоотношений в Новосибирской области» и рекомендовать его к принятию в первом чтении.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 w:cs="Calibri"/>
          <w:b/>
          <w:i/>
          <w:sz w:val="28"/>
          <w:szCs w:val="28"/>
        </w:rPr>
      </w:pPr>
      <w:r>
        <w:rPr>
          <w:rFonts w:ascii="Times New Roman" w:hAnsi="Times New Roman" w:cs="Calibri"/>
          <w:b/>
          <w:i/>
          <w:sz w:val="28"/>
          <w:szCs w:val="28"/>
        </w:rPr>
      </w:r>
      <w:r>
        <w:rPr>
          <w:rFonts w:ascii="Times New Roman" w:hAnsi="Times New Roman" w:cs="Calibri"/>
          <w:b/>
          <w:i/>
          <w:sz w:val="28"/>
          <w:szCs w:val="28"/>
        </w:rPr>
      </w:r>
      <w:r>
        <w:rPr>
          <w:rFonts w:ascii="Times New Roman" w:hAnsi="Times New Roman" w:cs="Calibri"/>
          <w:b/>
          <w:i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ГОЛОСОВАЛИ: </w:t>
      </w:r>
      <w:r>
        <w:rPr>
          <w:rFonts w:ascii="Times New Roman" w:hAnsi="Times New Roman"/>
          <w:b/>
          <w:color w:val="000000"/>
          <w:sz w:val="28"/>
          <w:szCs w:val="28"/>
        </w:rPr>
      </w:r>
      <w:r>
        <w:rPr>
          <w:rFonts w:ascii="Times New Roman" w:hAnsi="Times New Roman"/>
          <w:b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«За» - единогласно.</w:t>
      </w:r>
      <w:r>
        <w:rPr>
          <w:rFonts w:ascii="Times New Roman" w:hAnsi="Times New Roman"/>
          <w:color w:val="000000"/>
          <w:sz w:val="28"/>
          <w:szCs w:val="28"/>
        </w:rPr>
      </w:r>
      <w:r>
        <w:rPr>
          <w:rFonts w:ascii="Times New Roman" w:hAnsi="Times New Roman"/>
          <w:color w:val="000000"/>
          <w:sz w:val="28"/>
          <w:szCs w:val="28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</w:r>
      <w:r>
        <w:rPr>
          <w:rFonts w:ascii="Times New Roman" w:hAnsi="Times New Roman"/>
          <w:i/>
          <w:sz w:val="28"/>
          <w:szCs w:val="28"/>
        </w:rPr>
      </w:r>
      <w:r>
        <w:rPr>
          <w:rFonts w:ascii="Times New Roman" w:hAnsi="Times New Roman"/>
          <w:i/>
          <w:sz w:val="28"/>
          <w:szCs w:val="28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</w:r>
      <w:r>
        <w:rPr>
          <w:rFonts w:ascii="Times New Roman" w:hAnsi="Times New Roman"/>
          <w:i/>
          <w:sz w:val="28"/>
          <w:szCs w:val="28"/>
        </w:rPr>
      </w:r>
      <w:r>
        <w:rPr>
          <w:rFonts w:ascii="Times New Roman" w:hAnsi="Times New Roman"/>
          <w:i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8. Об обращении министерства труда и социального развития Новосибирской области о передаче движимого имущества филиалу Государственного фонда поддержки участников специальной военной операции «Защитники Отечества» в Новосибирской области. 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Доклад: </w:t>
      </w:r>
      <w:r>
        <w:rPr>
          <w:rFonts w:ascii="Times New Roman" w:hAnsi="Times New Roman"/>
          <w:sz w:val="28"/>
          <w:szCs w:val="28"/>
        </w:rPr>
        <w:t xml:space="preserve">Бахарева</w:t>
      </w:r>
      <w:r>
        <w:rPr>
          <w:rFonts w:ascii="Times New Roman" w:hAnsi="Times New Roman"/>
          <w:sz w:val="28"/>
          <w:szCs w:val="28"/>
        </w:rPr>
        <w:t xml:space="preserve"> Елена Викторовна – министр труда и социального развития Новосибирской области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/>
          <w:b/>
          <w:i/>
          <w:color w:val="000000"/>
          <w:sz w:val="28"/>
          <w:szCs w:val="28"/>
        </w:rPr>
      </w:pPr>
      <w:r>
        <w:rPr>
          <w:rFonts w:ascii="Times New Roman" w:hAnsi="Times New Roman"/>
          <w:b/>
          <w:i/>
          <w:color w:val="000000"/>
          <w:sz w:val="28"/>
          <w:szCs w:val="28"/>
        </w:rPr>
      </w:r>
      <w:r>
        <w:rPr>
          <w:rFonts w:ascii="Times New Roman" w:hAnsi="Times New Roman"/>
          <w:b/>
          <w:i/>
          <w:color w:val="000000"/>
          <w:sz w:val="28"/>
          <w:szCs w:val="28"/>
        </w:rPr>
      </w:r>
      <w:r>
        <w:rPr>
          <w:rFonts w:ascii="Times New Roman" w:hAnsi="Times New Roman"/>
          <w:b/>
          <w:i/>
          <w:color w:val="000000"/>
          <w:sz w:val="28"/>
          <w:szCs w:val="28"/>
        </w:rPr>
      </w:r>
    </w:p>
    <w:p>
      <w:pPr>
        <w:ind w:firstLine="709"/>
        <w:jc w:val="both"/>
        <w:spacing w:after="0" w:line="240" w:lineRule="auto"/>
        <w:shd w:val="clear" w:color="auto" w:fill="ffffff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РЕШИЛИ: </w:t>
      </w:r>
      <w:r>
        <w:rPr>
          <w:rFonts w:ascii="Times New Roman" w:hAnsi="Times New Roman"/>
          <w:b/>
          <w:color w:val="000000"/>
          <w:sz w:val="28"/>
          <w:szCs w:val="28"/>
        </w:rPr>
      </w:r>
      <w:r>
        <w:rPr>
          <w:rFonts w:ascii="Times New Roman" w:hAnsi="Times New Roman"/>
          <w:b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8.1. Принять к сведению доклад </w:t>
      </w:r>
      <w:r>
        <w:rPr>
          <w:rFonts w:ascii="Times New Roman" w:hAnsi="Times New Roman"/>
          <w:sz w:val="28"/>
          <w:szCs w:val="28"/>
        </w:rPr>
        <w:t xml:space="preserve">Бахаревой</w:t>
      </w:r>
      <w:r>
        <w:rPr>
          <w:rFonts w:ascii="Times New Roman" w:hAnsi="Times New Roman"/>
          <w:sz w:val="28"/>
          <w:szCs w:val="28"/>
        </w:rPr>
        <w:t xml:space="preserve"> Е.В. – министра труда и социального развития Новосибирской области.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8.2. С учётом положительного решения комитета Законодательного Собрания Новосибирской области по социальной п</w:t>
      </w:r>
      <w:r>
        <w:rPr>
          <w:rFonts w:ascii="Times New Roman" w:hAnsi="Times New Roman"/>
          <w:sz w:val="28"/>
          <w:szCs w:val="28"/>
        </w:rPr>
        <w:t xml:space="preserve">олитике, здравоохранению, охране труда и занятости населения от 9 ноября 2023 года № 63-6 согласиться с передачей в безвозмездное пользование движимого имущества согласно приложению № 1 (прилагается), находящегося на праве оперативного управления ГКУ НСО «</w:t>
      </w:r>
      <w:r>
        <w:rPr>
          <w:rFonts w:ascii="Times New Roman" w:hAnsi="Times New Roman"/>
          <w:sz w:val="28"/>
          <w:szCs w:val="28"/>
        </w:rPr>
        <w:t xml:space="preserve">Соцтехсервис</w:t>
      </w:r>
      <w:r>
        <w:rPr>
          <w:rFonts w:ascii="Times New Roman" w:hAnsi="Times New Roman"/>
          <w:sz w:val="28"/>
          <w:szCs w:val="28"/>
        </w:rPr>
        <w:t xml:space="preserve">», филиалу </w:t>
      </w:r>
      <w:r>
        <w:rPr>
          <w:rFonts w:ascii="Times New Roman" w:hAnsi="Times New Roman"/>
          <w:sz w:val="28"/>
          <w:szCs w:val="28"/>
        </w:rPr>
        <w:t xml:space="preserve">Государственного фонда поддержки участников специальной военной операции «Защитники Отечества» в Новосибирской области в целях организации и ведения деятельности по достижению уставных целей.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 w:cs="Calibri"/>
          <w:b/>
          <w:i/>
          <w:sz w:val="28"/>
          <w:szCs w:val="28"/>
        </w:rPr>
      </w:pPr>
      <w:r>
        <w:rPr>
          <w:rFonts w:ascii="Times New Roman" w:hAnsi="Times New Roman" w:cs="Calibri"/>
          <w:b/>
          <w:i/>
          <w:sz w:val="28"/>
          <w:szCs w:val="28"/>
        </w:rPr>
      </w:r>
      <w:r>
        <w:rPr>
          <w:rFonts w:ascii="Times New Roman" w:hAnsi="Times New Roman" w:cs="Calibri"/>
          <w:b/>
          <w:i/>
          <w:sz w:val="28"/>
          <w:szCs w:val="28"/>
        </w:rPr>
      </w:r>
      <w:r>
        <w:rPr>
          <w:rFonts w:ascii="Times New Roman" w:hAnsi="Times New Roman" w:cs="Calibri"/>
          <w:b/>
          <w:i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ГОЛОСОВАЛИ: </w:t>
      </w:r>
      <w:r>
        <w:rPr>
          <w:rFonts w:ascii="Times New Roman" w:hAnsi="Times New Roman"/>
          <w:b/>
          <w:color w:val="000000"/>
          <w:sz w:val="28"/>
          <w:szCs w:val="28"/>
        </w:rPr>
      </w:r>
      <w:r>
        <w:rPr>
          <w:rFonts w:ascii="Times New Roman" w:hAnsi="Times New Roman"/>
          <w:b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«За» - единогласно.</w:t>
      </w:r>
      <w:r>
        <w:rPr>
          <w:rFonts w:ascii="Times New Roman" w:hAnsi="Times New Roman"/>
          <w:color w:val="000000"/>
          <w:sz w:val="28"/>
          <w:szCs w:val="28"/>
        </w:rPr>
      </w:r>
      <w:r>
        <w:rPr>
          <w:rFonts w:ascii="Times New Roman" w:hAnsi="Times New Roman"/>
          <w:color w:val="000000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9. </w:t>
      </w:r>
      <w:r>
        <w:rPr>
          <w:rFonts w:ascii="Times New Roman" w:hAnsi="Times New Roman"/>
          <w:b/>
          <w:bCs/>
          <w:sz w:val="28"/>
          <w:szCs w:val="28"/>
        </w:rPr>
        <w:t xml:space="preserve">О приобретении недвижимого имущества, расположенного в с. </w:t>
      </w:r>
      <w:r>
        <w:rPr>
          <w:rFonts w:ascii="Times New Roman" w:hAnsi="Times New Roman"/>
          <w:b/>
          <w:bCs/>
          <w:sz w:val="28"/>
          <w:szCs w:val="28"/>
        </w:rPr>
        <w:t xml:space="preserve">Белоярка</w:t>
      </w: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 xml:space="preserve">Мошковского</w:t>
      </w:r>
      <w:r>
        <w:rPr>
          <w:rFonts w:ascii="Times New Roman" w:hAnsi="Times New Roman"/>
          <w:b/>
          <w:bCs/>
          <w:sz w:val="28"/>
          <w:szCs w:val="28"/>
        </w:rPr>
        <w:t xml:space="preserve"> района Новосибирской области, для размещения ГАУССО Новосибирской области «Успенский психоневрологический интернат».</w:t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ind w:right="225" w:firstLine="708"/>
        <w:jc w:val="both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Доклад: </w:t>
      </w:r>
      <w:r>
        <w:rPr>
          <w:rFonts w:ascii="Times New Roman" w:hAnsi="Times New Roman"/>
          <w:sz w:val="28"/>
          <w:szCs w:val="28"/>
        </w:rPr>
        <w:t xml:space="preserve">Бахарева</w:t>
      </w:r>
      <w:r>
        <w:rPr>
          <w:rFonts w:ascii="Times New Roman" w:hAnsi="Times New Roman"/>
          <w:sz w:val="28"/>
          <w:szCs w:val="28"/>
        </w:rPr>
        <w:t xml:space="preserve"> Елена Викторовна – министр труда и социального развития Новосибирской области</w:t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/>
          <w:b/>
          <w:bCs/>
          <w:i/>
          <w:color w:val="000000"/>
          <w:sz w:val="28"/>
          <w:szCs w:val="28"/>
        </w:rPr>
      </w:pPr>
      <w:r>
        <w:rPr>
          <w:rFonts w:ascii="Times New Roman" w:hAnsi="Times New Roman"/>
          <w:b/>
          <w:i/>
          <w:color w:val="000000"/>
          <w:sz w:val="28"/>
          <w:szCs w:val="28"/>
        </w:rPr>
      </w:r>
      <w:r>
        <w:rPr>
          <w:rFonts w:ascii="Times New Roman" w:hAnsi="Times New Roman"/>
          <w:b/>
          <w:i/>
          <w:color w:val="000000"/>
          <w:sz w:val="28"/>
          <w:szCs w:val="28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/>
          <w:b/>
          <w:bCs/>
          <w:i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i/>
          <w:color w:val="000000"/>
          <w:sz w:val="28"/>
          <w:szCs w:val="28"/>
        </w:rPr>
      </w:r>
      <w:r>
        <w:rPr>
          <w:rFonts w:ascii="Times New Roman" w:hAnsi="Times New Roman"/>
          <w:b/>
          <w:bCs/>
          <w:i/>
          <w:color w:val="000000"/>
          <w:sz w:val="28"/>
          <w:szCs w:val="28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/>
          <w:b/>
          <w:bCs/>
          <w:i/>
          <w:color w:val="000000"/>
          <w:sz w:val="28"/>
          <w:szCs w:val="28"/>
        </w:rPr>
      </w:pPr>
      <w:r>
        <w:rPr>
          <w:rFonts w:ascii="Times New Roman" w:hAnsi="Times New Roman"/>
          <w:b/>
          <w:i/>
          <w:color w:val="000000"/>
          <w:sz w:val="28"/>
          <w:szCs w:val="28"/>
        </w:rPr>
      </w:r>
      <w:r>
        <w:rPr>
          <w:rFonts w:ascii="Times New Roman" w:hAnsi="Times New Roman"/>
          <w:b/>
          <w:i/>
          <w:color w:val="000000"/>
          <w:sz w:val="28"/>
          <w:szCs w:val="28"/>
        </w:rPr>
      </w:r>
      <w:r>
        <w:rPr>
          <w:rFonts w:ascii="Times New Roman" w:hAnsi="Times New Roman"/>
          <w:b/>
          <w:bCs/>
          <w:i/>
          <w:color w:val="000000"/>
          <w:sz w:val="28"/>
          <w:szCs w:val="28"/>
        </w:rPr>
      </w:r>
    </w:p>
    <w:p>
      <w:pPr>
        <w:ind w:firstLine="709"/>
        <w:jc w:val="both"/>
        <w:spacing w:after="0" w:line="240" w:lineRule="auto"/>
        <w:shd w:val="clear" w:color="auto" w:fill="ffffff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РЕШИЛИ: </w:t>
      </w:r>
      <w:r>
        <w:rPr>
          <w:rFonts w:ascii="Times New Roman" w:hAnsi="Times New Roman"/>
          <w:b/>
          <w:color w:val="000000"/>
          <w:sz w:val="28"/>
          <w:szCs w:val="28"/>
        </w:rPr>
      </w:r>
      <w:r>
        <w:rPr>
          <w:rFonts w:ascii="Times New Roman" w:hAnsi="Times New Roman"/>
          <w:b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9.1. Принять к сведению информацию </w:t>
      </w:r>
      <w:r>
        <w:rPr>
          <w:rFonts w:ascii="Times New Roman" w:hAnsi="Times New Roman"/>
          <w:sz w:val="28"/>
          <w:szCs w:val="28"/>
        </w:rPr>
        <w:t xml:space="preserve">Бахаревой</w:t>
      </w:r>
      <w:r>
        <w:rPr>
          <w:rFonts w:ascii="Times New Roman" w:hAnsi="Times New Roman"/>
          <w:sz w:val="28"/>
          <w:szCs w:val="28"/>
        </w:rPr>
        <w:t xml:space="preserve"> Е.В. – министра труда и социального развития Новосибирской области о приобретении в государственную собственность Новосибирской области недвижимого имущества, расположенного в с. </w:t>
      </w:r>
      <w:r>
        <w:rPr>
          <w:rFonts w:ascii="Times New Roman" w:hAnsi="Times New Roman"/>
          <w:sz w:val="28"/>
          <w:szCs w:val="28"/>
        </w:rPr>
        <w:t xml:space="preserve">Белоярка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Мошковского</w:t>
      </w:r>
      <w:r>
        <w:rPr>
          <w:rFonts w:ascii="Times New Roman" w:hAnsi="Times New Roman"/>
          <w:sz w:val="28"/>
          <w:szCs w:val="28"/>
        </w:rPr>
        <w:t xml:space="preserve"> района Новосибирской области.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35"/>
        <w:ind w:firstLine="709"/>
        <w:jc w:val="both"/>
        <w:spacing w:after="0" w:line="240" w:lineRule="auto"/>
        <w:tabs>
          <w:tab w:val="left" w:pos="708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9.2. В целях повышения эффективности оказания социальных услуг гражданам пожилого возраста, лицам с ограниченными возможностями здо</w:t>
      </w:r>
      <w:r>
        <w:rPr>
          <w:rFonts w:ascii="Times New Roman" w:hAnsi="Times New Roman"/>
          <w:sz w:val="28"/>
          <w:szCs w:val="28"/>
        </w:rPr>
        <w:t xml:space="preserve">ровья и инвалидам, проживающим в ГАУССО Новосибирской области «Успенский психоневрологический интернат», согласиться с приобретением в государственную собственность Новосибирской области недвижимого имущества, расположенного по адресу: Новосибирская обл., </w:t>
      </w:r>
      <w:r>
        <w:rPr>
          <w:rFonts w:ascii="Times New Roman" w:hAnsi="Times New Roman"/>
          <w:sz w:val="28"/>
          <w:szCs w:val="28"/>
        </w:rPr>
        <w:t xml:space="preserve">Мошковский</w:t>
      </w:r>
      <w:r>
        <w:rPr>
          <w:rFonts w:ascii="Times New Roman" w:hAnsi="Times New Roman"/>
          <w:sz w:val="28"/>
          <w:szCs w:val="28"/>
        </w:rPr>
        <w:t xml:space="preserve"> р-н, с.  </w:t>
      </w:r>
      <w:r>
        <w:rPr>
          <w:rFonts w:ascii="Times New Roman" w:hAnsi="Times New Roman"/>
          <w:sz w:val="28"/>
          <w:szCs w:val="28"/>
        </w:rPr>
        <w:t xml:space="preserve">Белоярка</w:t>
      </w:r>
      <w:r>
        <w:rPr>
          <w:rFonts w:ascii="Times New Roman" w:hAnsi="Times New Roman"/>
          <w:sz w:val="28"/>
          <w:szCs w:val="28"/>
        </w:rPr>
        <w:t xml:space="preserve">: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1) здание, назначение: нежилое. Площадь: 549,1 кв. м. Количество этажей, в том числе подземных этажей: 1, в том числе подземных 0. Кадастровый номер: 54:18:030206:406;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2) земельный участок, категория земель: земли населенных пунктов. Виды разрешенного использования: эксплуатация здания магазина. Площадь: 1 641 +/- 28 кв. м. Кадастровый номер: 54:18:030206:235;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3) здание, назначение: нежилое. Площадь: 96,6 кв. м. Количество этажей, в том числе подземных этажей: 1, в том числе подземных 0. Кадастровый номер: 54:18:030206:320;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4) земельный участок, категория земель: земли населенных пунктов. Виды разрешенного использования: для производственных нужд. Площадь: 241 +/- 5 кв. м. Кадастровый номер: 54:18:030206:5.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9.3. В соответствии с Законом Новосибирской области от 6 июля 2018 года № 271-ОЗ «Об управлении и распоряжении государственной собственностью Новосибирской области» и статьей 108 Реглам</w:t>
      </w:r>
      <w:r>
        <w:rPr>
          <w:rFonts w:ascii="Times New Roman" w:hAnsi="Times New Roman"/>
          <w:sz w:val="28"/>
          <w:szCs w:val="28"/>
        </w:rPr>
        <w:t xml:space="preserve">ента Законодательного Собрания Новосибирской области внести на рассмотрение сессии Законодательного Собрания Новосибирской области проект постановления о согласовании приобретения в государственную собственность Новосибирской области недвижимого имущества.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9.4. Рекомендовать сессии Законодательного Собрания Новосибирской области согласовать приобретение в государственную собственность Новосибирской области недвижимого имущества.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Calibri"/>
          <w:b/>
          <w:i/>
          <w:sz w:val="28"/>
          <w:szCs w:val="28"/>
        </w:rPr>
      </w:pPr>
      <w:r>
        <w:rPr>
          <w:rFonts w:ascii="Times New Roman" w:hAnsi="Times New Roman" w:cs="Calibri"/>
          <w:b/>
          <w:i/>
          <w:sz w:val="28"/>
          <w:szCs w:val="28"/>
        </w:rPr>
      </w:r>
      <w:r>
        <w:rPr>
          <w:rFonts w:ascii="Times New Roman" w:hAnsi="Times New Roman" w:cs="Calibri"/>
          <w:b/>
          <w:i/>
          <w:sz w:val="28"/>
          <w:szCs w:val="28"/>
        </w:rPr>
      </w:r>
      <w:r>
        <w:rPr>
          <w:rFonts w:ascii="Times New Roman" w:hAnsi="Times New Roman" w:cs="Calibri"/>
          <w:b/>
          <w:i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ГОЛОСОВАЛИ: </w:t>
      </w:r>
      <w:r>
        <w:rPr>
          <w:rFonts w:ascii="Times New Roman" w:hAnsi="Times New Roman"/>
          <w:b/>
          <w:color w:val="000000"/>
          <w:sz w:val="28"/>
          <w:szCs w:val="28"/>
        </w:rPr>
      </w:r>
      <w:r>
        <w:rPr>
          <w:rFonts w:ascii="Times New Roman" w:hAnsi="Times New Roman"/>
          <w:b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«За» - единогласно.</w:t>
      </w:r>
      <w:r>
        <w:rPr>
          <w:rFonts w:ascii="Times New Roman" w:hAnsi="Times New Roman"/>
          <w:color w:val="000000"/>
          <w:sz w:val="28"/>
          <w:szCs w:val="28"/>
        </w:rPr>
      </w:r>
      <w:r>
        <w:rPr>
          <w:rFonts w:ascii="Times New Roman" w:hAnsi="Times New Roman"/>
          <w:color w:val="000000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10. О награждении.</w:t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Доклад: </w:t>
      </w:r>
      <w:r>
        <w:rPr>
          <w:rFonts w:ascii="Times New Roman" w:hAnsi="Times New Roman"/>
          <w:sz w:val="28"/>
          <w:szCs w:val="28"/>
        </w:rPr>
        <w:t xml:space="preserve">Кальченко</w:t>
      </w:r>
      <w:r>
        <w:rPr>
          <w:rFonts w:ascii="Times New Roman" w:hAnsi="Times New Roman"/>
          <w:sz w:val="28"/>
          <w:szCs w:val="28"/>
        </w:rPr>
        <w:t xml:space="preserve"> Сергей Владимирович − заместитель председателя комитета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shd w:val="clear" w:color="auto" w:fill="ffffff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ВОПРОСЫ, ВЫСТУПЛЕНИЯ: </w:t>
      </w:r>
      <w:r>
        <w:rPr>
          <w:rFonts w:ascii="Times New Roman" w:hAnsi="Times New Roman"/>
          <w:color w:val="000000"/>
          <w:sz w:val="28"/>
          <w:szCs w:val="28"/>
        </w:rPr>
        <w:t xml:space="preserve">опросить членов комитета.</w:t>
      </w:r>
      <w:r>
        <w:rPr>
          <w:rFonts w:ascii="Times New Roman" w:hAnsi="Times New Roman"/>
          <w:color w:val="000000"/>
          <w:sz w:val="28"/>
          <w:szCs w:val="28"/>
        </w:rPr>
      </w:r>
      <w:r>
        <w:rPr>
          <w:rFonts w:ascii="Times New Roman" w:hAnsi="Times New Roman"/>
          <w:color w:val="000000"/>
          <w:sz w:val="28"/>
          <w:szCs w:val="28"/>
        </w:rPr>
      </w:r>
    </w:p>
    <w:p>
      <w:pPr>
        <w:ind w:firstLine="709"/>
        <w:jc w:val="both"/>
        <w:spacing w:after="0" w:line="240" w:lineRule="auto"/>
        <w:shd w:val="clear" w:color="auto" w:fill="ffffff"/>
        <w:rPr>
          <w:rFonts w:ascii="Times New Roman" w:hAnsi="Times New Roman"/>
          <w:b/>
          <w:i/>
          <w:color w:val="000000"/>
          <w:sz w:val="28"/>
          <w:szCs w:val="28"/>
        </w:rPr>
      </w:pPr>
      <w:r>
        <w:rPr>
          <w:rFonts w:ascii="Times New Roman" w:hAnsi="Times New Roman"/>
          <w:b/>
          <w:i/>
          <w:color w:val="000000"/>
          <w:sz w:val="28"/>
          <w:szCs w:val="28"/>
        </w:rPr>
      </w:r>
      <w:r>
        <w:rPr>
          <w:rFonts w:ascii="Times New Roman" w:hAnsi="Times New Roman"/>
          <w:b/>
          <w:i/>
          <w:color w:val="000000"/>
          <w:sz w:val="28"/>
          <w:szCs w:val="28"/>
        </w:rPr>
      </w:r>
      <w:r>
        <w:rPr>
          <w:rFonts w:ascii="Times New Roman" w:hAnsi="Times New Roman"/>
          <w:b/>
          <w:i/>
          <w:color w:val="000000"/>
          <w:sz w:val="28"/>
          <w:szCs w:val="28"/>
        </w:rPr>
      </w:r>
    </w:p>
    <w:p>
      <w:pPr>
        <w:ind w:firstLine="709"/>
        <w:jc w:val="both"/>
        <w:spacing w:after="0" w:line="240" w:lineRule="auto"/>
        <w:shd w:val="clear" w:color="auto" w:fill="ffffff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РЕШИЛИ: </w:t>
      </w:r>
      <w:r>
        <w:rPr>
          <w:rFonts w:ascii="Times New Roman" w:hAnsi="Times New Roman"/>
          <w:b/>
          <w:color w:val="000000"/>
          <w:sz w:val="28"/>
          <w:szCs w:val="28"/>
        </w:rPr>
      </w:r>
      <w:r>
        <w:rPr>
          <w:rFonts w:ascii="Times New Roman" w:hAnsi="Times New Roman"/>
          <w:b/>
          <w:color w:val="000000"/>
          <w:sz w:val="28"/>
          <w:szCs w:val="28"/>
        </w:rPr>
      </w:r>
    </w:p>
    <w:p>
      <w:pPr>
        <w:pStyle w:val="90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Обратиться с ходатайством о награждении наградами Законодательного Собрания Новосибирской области следующих кандидатур: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4"/>
        <w:numPr>
          <w:ilvl w:val="0"/>
          <w:numId w:val="8"/>
        </w:numPr>
        <w:ind w:left="0" w:firstLine="91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За высокий уровень профессионализма, активное участие в общественной деятельности и многолетний добросовестный труд Медалью Законодательного Собрания Новосибирской области «Общественное признание» Останина Максима Константиновича, заместителя </w:t>
      </w:r>
      <w:r>
        <w:rPr>
          <w:rFonts w:ascii="Times New Roman" w:hAnsi="Times New Roman" w:cs="Times New Roman"/>
          <w:sz w:val="28"/>
          <w:szCs w:val="28"/>
        </w:rPr>
        <w:t xml:space="preserve">министра  –</w:t>
      </w:r>
      <w:r>
        <w:rPr>
          <w:rFonts w:ascii="Times New Roman" w:hAnsi="Times New Roman" w:cs="Times New Roman"/>
          <w:sz w:val="28"/>
          <w:szCs w:val="28"/>
        </w:rPr>
        <w:t xml:space="preserve"> начальника управления по промышленности, торговли и развития предпринимательства Новосибирской области.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4"/>
        <w:numPr>
          <w:ilvl w:val="0"/>
          <w:numId w:val="8"/>
        </w:numPr>
        <w:ind w:left="0" w:firstLine="91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 высокий уровень профессионализма, многолетний добросовестный труд и большой личный вклад в развитие </w:t>
      </w:r>
      <w:r>
        <w:rPr>
          <w:rFonts w:ascii="Times New Roman" w:hAnsi="Times New Roman" w:cs="Times New Roman"/>
          <w:sz w:val="28"/>
          <w:szCs w:val="28"/>
        </w:rPr>
        <w:t xml:space="preserve">промышленности, торговли и предпринимательства Новосибирской области Почетной грамотой Законодательного Собрания Новосибирской области Гончарова Андрея Александровича, министра промышленности, торговли и развития предпринимательства Новосибирской области.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4"/>
        <w:numPr>
          <w:ilvl w:val="0"/>
          <w:numId w:val="8"/>
        </w:numPr>
        <w:ind w:left="0" w:firstLine="91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Благодарностью Законодательного Собрания Новосибирской области: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/>
          <w:color w:val="000000"/>
          <w:sz w:val="28"/>
          <w:szCs w:val="28"/>
        </w:rPr>
        <w:t xml:space="preserve">З</w:t>
      </w:r>
      <w:r>
        <w:rPr>
          <w:rFonts w:ascii="Times New Roman" w:hAnsi="Times New Roman"/>
          <w:color w:val="000000"/>
          <w:sz w:val="28"/>
          <w:szCs w:val="28"/>
          <w:highlight w:val="white"/>
        </w:rPr>
        <w:t xml:space="preserve">а высокие показатели в профессиональной деятельности</w:t>
      </w:r>
      <w:r>
        <w:rPr>
          <w:rFonts w:ascii="Times New Roman" w:hAnsi="Times New Roman"/>
          <w:color w:val="000000"/>
          <w:sz w:val="28"/>
          <w:szCs w:val="28"/>
        </w:rPr>
        <w:t xml:space="preserve"> Литвинова Дениса Григорьевича, консультанта управления прогнозирования доходов и налоговой политики министерства финансов и налоговой политики Новосибирской области;</w:t>
      </w:r>
      <w:r>
        <w:rPr>
          <w:rFonts w:ascii="Times New Roman" w:hAnsi="Times New Roman"/>
          <w:color w:val="000000"/>
          <w:sz w:val="28"/>
          <w:szCs w:val="28"/>
        </w:rPr>
      </w:r>
      <w:r>
        <w:rPr>
          <w:rFonts w:ascii="Times New Roman" w:hAnsi="Times New Roman"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/>
          <w:color w:val="000000"/>
          <w:sz w:val="28"/>
          <w:szCs w:val="28"/>
        </w:rPr>
        <w:t xml:space="preserve">З</w:t>
      </w:r>
      <w:r>
        <w:rPr>
          <w:rFonts w:ascii="Times New Roman" w:hAnsi="Times New Roman"/>
          <w:color w:val="000000"/>
          <w:sz w:val="28"/>
          <w:szCs w:val="28"/>
          <w:highlight w:val="white"/>
        </w:rPr>
        <w:t xml:space="preserve">а высокие показатели в профессиональной деятельности</w:t>
      </w:r>
      <w:r>
        <w:rPr>
          <w:rFonts w:ascii="Times New Roman" w:hAnsi="Times New Roman"/>
          <w:color w:val="000000"/>
          <w:sz w:val="28"/>
          <w:szCs w:val="28"/>
        </w:rPr>
        <w:t xml:space="preserve"> Ю</w:t>
      </w:r>
      <w:r>
        <w:rPr>
          <w:rFonts w:ascii="Times New Roman" w:hAnsi="Times New Roman"/>
          <w:color w:val="000000"/>
          <w:sz w:val="28"/>
          <w:szCs w:val="28"/>
        </w:rPr>
        <w:t xml:space="preserve">дина Романа Валерьевича, заместителя начальника управления бюджетной политики в отраслях экономики – начальника отдела бюджетной политики в сфере государственной поддержки отраслей экономики министерства финансов и налоговой политики Новосибирской области.</w:t>
      </w:r>
      <w:r>
        <w:rPr>
          <w:rFonts w:ascii="Times New Roman" w:hAnsi="Times New Roman"/>
          <w:color w:val="000000"/>
          <w:sz w:val="28"/>
          <w:szCs w:val="28"/>
        </w:rPr>
      </w:r>
      <w:r>
        <w:rPr>
          <w:rFonts w:ascii="Times New Roman" w:hAnsi="Times New Roman"/>
          <w:color w:val="000000"/>
          <w:sz w:val="28"/>
          <w:szCs w:val="28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</w:r>
      <w:r>
        <w:rPr>
          <w:rFonts w:ascii="Times New Roman" w:hAnsi="Times New Roman"/>
          <w:b/>
          <w:color w:val="000000"/>
          <w:sz w:val="28"/>
          <w:szCs w:val="28"/>
        </w:rPr>
      </w:r>
      <w:r>
        <w:rPr>
          <w:rFonts w:ascii="Times New Roman" w:hAnsi="Times New Roman"/>
          <w:b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ГОЛОСОВАЛИ: </w:t>
      </w:r>
      <w:r>
        <w:rPr>
          <w:rFonts w:ascii="Times New Roman" w:hAnsi="Times New Roman"/>
          <w:b/>
          <w:color w:val="000000"/>
          <w:sz w:val="28"/>
          <w:szCs w:val="28"/>
        </w:rPr>
      </w:r>
      <w:r>
        <w:rPr>
          <w:rFonts w:ascii="Times New Roman" w:hAnsi="Times New Roman"/>
          <w:b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«За» - единогласно.</w:t>
      </w:r>
      <w:r>
        <w:rPr>
          <w:rFonts w:ascii="Times New Roman" w:hAnsi="Times New Roman"/>
          <w:color w:val="000000"/>
          <w:sz w:val="28"/>
          <w:szCs w:val="28"/>
        </w:rPr>
      </w:r>
      <w:r>
        <w:rPr>
          <w:rFonts w:ascii="Times New Roman" w:hAnsi="Times New Roman"/>
          <w:color w:val="000000"/>
          <w:sz w:val="28"/>
          <w:szCs w:val="28"/>
        </w:rPr>
      </w:r>
    </w:p>
    <w:p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Председатель комитета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</w:t>
        <w:tab/>
        <w:t xml:space="preserve">Ф.А. Николаев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 w:clear="all"/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right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Приложение</w:t>
      </w:r>
      <w:r>
        <w:rPr>
          <w:rFonts w:ascii="Times New Roman" w:hAnsi="Times New Roman"/>
          <w:sz w:val="28"/>
          <w:szCs w:val="28"/>
        </w:rPr>
        <w:t xml:space="preserve"> № 1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right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 протоколу № 14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right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заседания комитета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right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15 ноября 2023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right"/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ПЕРЕЧЕНЬ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движимого имущества ГКУ НСО «</w:t>
      </w:r>
      <w:r>
        <w:rPr>
          <w:rFonts w:ascii="Times New Roman" w:hAnsi="Times New Roman"/>
          <w:sz w:val="28"/>
          <w:szCs w:val="28"/>
        </w:rPr>
        <w:t xml:space="preserve">Соцтехсервис</w:t>
      </w:r>
      <w:r>
        <w:rPr>
          <w:rFonts w:ascii="Times New Roman" w:hAnsi="Times New Roman"/>
          <w:sz w:val="28"/>
          <w:szCs w:val="28"/>
        </w:rPr>
        <w:t xml:space="preserve">» для передачи филиалу Государственного фонда «Защитники Отечества»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807"/>
        <w:gridCol w:w="5879"/>
        <w:gridCol w:w="1242"/>
        <w:gridCol w:w="1667"/>
      </w:tblGrid>
      <w:tr>
        <w:trPr>
          <w:jc w:val="center"/>
          <w:trHeight w:val="2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0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№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п/п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79" w:type="dxa"/>
            <w:vAlign w:val="center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Наименование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42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Количество, шт.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67" w:type="dxa"/>
            <w:vAlign w:val="center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Сумма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руб.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jc w:val="center"/>
          <w:trHeight w:val="2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07" w:type="dxa"/>
            <w:textDirection w:val="lrTb"/>
            <w:noWrap w:val="false"/>
          </w:tcPr>
          <w:p>
            <w:pPr>
              <w:pStyle w:val="725"/>
              <w:numPr>
                <w:ilvl w:val="0"/>
                <w:numId w:val="10"/>
              </w:num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4"/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7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4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Моноблок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23.8" IPS FHD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Hiper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V6 black (core i5 11500/16Gb/512Gb SSD/DVDRW/VGA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int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/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kb+m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/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noOS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) (74YQCYXU6B)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4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4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14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67" w:type="dxa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4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1 073 100,00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jc w:val="center"/>
          <w:trHeight w:val="2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07" w:type="dxa"/>
            <w:textDirection w:val="lrTb"/>
            <w:noWrap w:val="false"/>
          </w:tcPr>
          <w:p>
            <w:pPr>
              <w:pStyle w:val="725"/>
              <w:numPr>
                <w:ilvl w:val="0"/>
                <w:numId w:val="10"/>
              </w:num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4"/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7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4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МФУ лазерный HP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LaserJet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M236sdn (A4, принтер/сканер/копир, 600dpi, 29ppm, 64Mb, ADF40,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Duplex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Lan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USB) (9YG08A)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4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4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8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67" w:type="dxa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4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252 000,00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jc w:val="center"/>
          <w:trHeight w:val="2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07" w:type="dxa"/>
            <w:textDirection w:val="lrTb"/>
            <w:noWrap w:val="false"/>
          </w:tcPr>
          <w:p>
            <w:pPr>
              <w:pStyle w:val="725"/>
              <w:numPr>
                <w:ilvl w:val="0"/>
                <w:numId w:val="10"/>
              </w:num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4"/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7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4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Многофункциональное устройство (МФУ)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4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4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2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67" w:type="dxa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4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83 105,60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jc w:val="center"/>
          <w:trHeight w:val="2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07" w:type="dxa"/>
            <w:textDirection w:val="lrTb"/>
            <w:noWrap w:val="false"/>
          </w:tcPr>
          <w:p>
            <w:pPr>
              <w:pStyle w:val="725"/>
              <w:numPr>
                <w:ilvl w:val="0"/>
                <w:numId w:val="10"/>
              </w:num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4"/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7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4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Принтер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4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4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67" w:type="dxa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4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42 790,42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jc w:val="center"/>
          <w:trHeight w:val="2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07" w:type="dxa"/>
            <w:textDirection w:val="lrTb"/>
            <w:noWrap w:val="false"/>
          </w:tcPr>
          <w:p>
            <w:pPr>
              <w:pStyle w:val="725"/>
              <w:numPr>
                <w:ilvl w:val="0"/>
                <w:numId w:val="10"/>
              </w:num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4"/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7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4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Моноблок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23.8" IPS FHD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Hiper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V6 black (core i5 11500/16Gb/512Gb SSD/DVDRW/VGA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int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/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kb+m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/W10Pro) (74YQCYXU7B)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4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4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34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67" w:type="dxa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4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2 709 800,00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jc w:val="center"/>
          <w:trHeight w:val="2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07" w:type="dxa"/>
            <w:textDirection w:val="lrTb"/>
            <w:noWrap w:val="false"/>
          </w:tcPr>
          <w:p>
            <w:pPr>
              <w:pStyle w:val="725"/>
              <w:numPr>
                <w:ilvl w:val="0"/>
                <w:numId w:val="10"/>
              </w:num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4"/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7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4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МФУ лазерный HP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LaserJet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Pro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M428dw (A4, принтер/сканер/копир, 1200dpi, 38ppm, 512Mb, ADF50,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Duplex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WiFi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Lan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USB, картридж 3000) (W1A28A)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4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4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67" w:type="dxa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4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53 000,00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jc w:val="center"/>
          <w:trHeight w:val="2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07" w:type="dxa"/>
            <w:textDirection w:val="lrTb"/>
            <w:noWrap w:val="false"/>
          </w:tcPr>
          <w:p>
            <w:pPr>
              <w:pStyle w:val="725"/>
              <w:numPr>
                <w:ilvl w:val="0"/>
                <w:numId w:val="10"/>
              </w:num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4"/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7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4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Интерактивная доска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ExellTECH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ET-91 (IR94-40-16:10M), ИК технология, диагональ активной поверхности 91"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4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4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67" w:type="dxa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4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99 000,00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jc w:val="center"/>
          <w:trHeight w:val="2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07" w:type="dxa"/>
            <w:textDirection w:val="lrTb"/>
            <w:noWrap w:val="false"/>
          </w:tcPr>
          <w:p>
            <w:pPr>
              <w:pStyle w:val="725"/>
              <w:numPr>
                <w:ilvl w:val="0"/>
                <w:numId w:val="10"/>
              </w:num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4"/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7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4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Проектор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Epson CO-W01 white (LCD, 1280x800, 3000Lm, 1.27-1.71:1, 300:1, HDMI, USB-A)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4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4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67" w:type="dxa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4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59 000,00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jc w:val="center"/>
          <w:trHeight w:val="2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07" w:type="dxa"/>
            <w:textDirection w:val="lrTb"/>
            <w:noWrap w:val="false"/>
          </w:tcPr>
          <w:p>
            <w:pPr>
              <w:pStyle w:val="725"/>
              <w:numPr>
                <w:ilvl w:val="0"/>
                <w:numId w:val="10"/>
              </w:num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4"/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7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4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Аудиовидеосистема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Bring Your Own Device, YealinkUVC40-BYOD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4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4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67" w:type="dxa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4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127 700,00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jc w:val="center"/>
          <w:trHeight w:val="2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07" w:type="dxa"/>
            <w:textDirection w:val="lrTb"/>
            <w:noWrap w:val="false"/>
          </w:tcPr>
          <w:p>
            <w:pPr>
              <w:pStyle w:val="725"/>
              <w:numPr>
                <w:ilvl w:val="0"/>
                <w:numId w:val="10"/>
              </w:num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4"/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7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4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Умная колонка ЯНДЕКС Станция 230 Вт, с Алисой, синий кобальт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4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4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67" w:type="dxa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4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18 000,00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jc w:val="center"/>
          <w:trHeight w:val="2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07" w:type="dxa"/>
            <w:textDirection w:val="lrTb"/>
            <w:noWrap w:val="false"/>
          </w:tcPr>
          <w:p>
            <w:pPr>
              <w:pStyle w:val="725"/>
              <w:numPr>
                <w:ilvl w:val="0"/>
                <w:numId w:val="10"/>
              </w:num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4"/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7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4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Ноутбук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15.6" IPS FHD HP 250 G8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dk.silver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(Core i5 1135G7/8Gb/512Gb SSD/VGA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int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/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noSO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) (4P2U8EA)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4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4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67" w:type="dxa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4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62 000,00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jc w:val="center"/>
          <w:trHeight w:val="2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07" w:type="dxa"/>
            <w:textDirection w:val="lrTb"/>
            <w:noWrap w:val="false"/>
          </w:tcPr>
          <w:p>
            <w:pPr>
              <w:pStyle w:val="725"/>
              <w:numPr>
                <w:ilvl w:val="0"/>
                <w:numId w:val="10"/>
              </w:num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4"/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7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4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ИБП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Ippon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Back Basic 650S Euro black (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линейно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-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интерактивный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, 650VA, 360W, 3xEURO, USB)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4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4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45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67" w:type="dxa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4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221 175,00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jc w:val="center"/>
          <w:trHeight w:val="2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07" w:type="dxa"/>
            <w:textDirection w:val="lrTb"/>
            <w:noWrap w:val="false"/>
          </w:tcPr>
          <w:p>
            <w:pPr>
              <w:pStyle w:val="725"/>
              <w:numPr>
                <w:ilvl w:val="0"/>
                <w:numId w:val="10"/>
              </w:num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4"/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7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4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Телефон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VoIP SIP YEALINK SIP-T31E2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4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4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45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67" w:type="dxa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4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180 000,00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jc w:val="center"/>
          <w:trHeight w:val="2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07" w:type="dxa"/>
            <w:textDirection w:val="lrTb"/>
            <w:noWrap w:val="false"/>
          </w:tcPr>
          <w:p>
            <w:pPr>
              <w:pStyle w:val="725"/>
              <w:numPr>
                <w:ilvl w:val="0"/>
                <w:numId w:val="10"/>
              </w:num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4"/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7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4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Наушники с микрофоном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Creative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HS-220 черный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4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4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10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67" w:type="dxa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4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35 000,00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jc w:val="center"/>
          <w:trHeight w:val="2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07" w:type="dxa"/>
            <w:textDirection w:val="lrTb"/>
            <w:noWrap w:val="false"/>
          </w:tcPr>
          <w:p>
            <w:pPr>
              <w:pStyle w:val="725"/>
              <w:numPr>
                <w:ilvl w:val="0"/>
                <w:numId w:val="10"/>
              </w:num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4"/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7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4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Гарнитура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Yearlink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YHS34 Lite Dual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4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4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3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67" w:type="dxa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4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7 446,99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jc w:val="center"/>
          <w:trHeight w:val="2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07" w:type="dxa"/>
            <w:textDirection w:val="lrTb"/>
            <w:noWrap w:val="false"/>
          </w:tcPr>
          <w:p>
            <w:pPr>
              <w:pStyle w:val="725"/>
              <w:numPr>
                <w:ilvl w:val="0"/>
                <w:numId w:val="10"/>
              </w:num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4"/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7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4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Многофункциональное устройство (МФУ)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4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4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5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67" w:type="dxa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4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162 519,40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jc w:val="center"/>
          <w:trHeight w:val="2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07" w:type="dxa"/>
            <w:textDirection w:val="lrTb"/>
            <w:noWrap w:val="false"/>
          </w:tcPr>
          <w:p>
            <w:pPr>
              <w:pStyle w:val="725"/>
              <w:numPr>
                <w:ilvl w:val="0"/>
                <w:numId w:val="10"/>
              </w:num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4"/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7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4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Коляска-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трансформер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Caterwill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GTS4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4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4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667" w:type="dxa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4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540 000,00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jc w:val="center"/>
          <w:trHeight w:val="2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07" w:type="dxa"/>
            <w:textDirection w:val="lrTb"/>
            <w:noWrap w:val="false"/>
          </w:tcPr>
          <w:p>
            <w:pPr>
              <w:pStyle w:val="725"/>
              <w:numPr>
                <w:ilvl w:val="0"/>
                <w:numId w:val="10"/>
              </w:num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4"/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7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4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Кровать функциональная медицинская механическая арт. Е-45А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4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4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67" w:type="dxa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4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63 000,00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jc w:val="center"/>
          <w:trHeight w:val="2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07" w:type="dxa"/>
            <w:textDirection w:val="lrTb"/>
            <w:noWrap w:val="false"/>
          </w:tcPr>
          <w:p>
            <w:pPr>
              <w:pStyle w:val="725"/>
              <w:numPr>
                <w:ilvl w:val="0"/>
                <w:numId w:val="10"/>
              </w:num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4"/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7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4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Кресло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-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коляска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Ortonica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Base 130 18" PU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4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4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67" w:type="dxa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4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12 500,00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jc w:val="center"/>
          <w:trHeight w:val="2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07" w:type="dxa"/>
            <w:textDirection w:val="lrTb"/>
            <w:noWrap w:val="false"/>
          </w:tcPr>
          <w:p>
            <w:pPr>
              <w:pStyle w:val="725"/>
              <w:numPr>
                <w:ilvl w:val="0"/>
                <w:numId w:val="10"/>
              </w:num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4"/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7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4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Телевизор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43" TOPDEVICE TDTV43BS05U black (UHD 4K, Smart TV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WildRed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, DVB-T2/C/S2)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4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4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667" w:type="dxa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4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21 500,00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jc w:val="center"/>
          <w:trHeight w:val="2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07" w:type="dxa"/>
            <w:textDirection w:val="lrTb"/>
            <w:noWrap w:val="false"/>
          </w:tcPr>
          <w:p>
            <w:pPr>
              <w:pStyle w:val="725"/>
              <w:numPr>
                <w:ilvl w:val="0"/>
                <w:numId w:val="10"/>
              </w:num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4"/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7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4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Телевизор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55" HIPER U55YQ2200GR Graphite (UHD, SMART TV, DVB-S2/S/T2/T/C)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4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4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67" w:type="dxa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4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29 500,00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jc w:val="center"/>
          <w:trHeight w:val="2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07" w:type="dxa"/>
            <w:textDirection w:val="lrTb"/>
            <w:noWrap w:val="false"/>
          </w:tcPr>
          <w:p>
            <w:pPr>
              <w:pStyle w:val="725"/>
              <w:numPr>
                <w:ilvl w:val="0"/>
                <w:numId w:val="10"/>
              </w:num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4"/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7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4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Ванна с дверцей для инвалидов акриловая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Bolu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BL-106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Personas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R 130*70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4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4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67" w:type="dxa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4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134 000,00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jc w:val="center"/>
          <w:trHeight w:val="2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07" w:type="dxa"/>
            <w:textDirection w:val="lrTb"/>
            <w:noWrap w:val="false"/>
          </w:tcPr>
          <w:p>
            <w:pPr>
              <w:pStyle w:val="725"/>
              <w:numPr>
                <w:ilvl w:val="0"/>
                <w:numId w:val="10"/>
              </w:num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4"/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7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4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Холодильник БИРЮСА-110, белый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4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4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67" w:type="dxa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4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28 134,00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jc w:val="center"/>
          <w:trHeight w:val="2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07" w:type="dxa"/>
            <w:textDirection w:val="lrTb"/>
            <w:noWrap w:val="false"/>
          </w:tcPr>
          <w:p>
            <w:pPr>
              <w:pStyle w:val="725"/>
              <w:numPr>
                <w:ilvl w:val="0"/>
                <w:numId w:val="10"/>
              </w:num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4"/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7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4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Комплект штор и 1-рядный карниз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4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4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67" w:type="dxa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4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35 225,51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jc w:val="center"/>
          <w:trHeight w:val="2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07" w:type="dxa"/>
            <w:textDirection w:val="lrTb"/>
            <w:noWrap w:val="false"/>
          </w:tcPr>
          <w:p>
            <w:pPr>
              <w:pStyle w:val="725"/>
              <w:numPr>
                <w:ilvl w:val="0"/>
                <w:numId w:val="10"/>
              </w:num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4"/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7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4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Комплект штор и 1-рядный карниз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4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4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2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67" w:type="dxa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4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50 676,96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jc w:val="center"/>
          <w:trHeight w:val="2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07" w:type="dxa"/>
            <w:textDirection w:val="lrTb"/>
            <w:noWrap w:val="false"/>
          </w:tcPr>
          <w:p>
            <w:pPr>
              <w:pStyle w:val="725"/>
              <w:numPr>
                <w:ilvl w:val="0"/>
                <w:numId w:val="10"/>
              </w:num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4"/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7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4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Комплект штор и 1-рядный карниз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4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4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67" w:type="dxa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4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33 092,92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jc w:val="center"/>
          <w:trHeight w:val="2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07" w:type="dxa"/>
            <w:textDirection w:val="lrTb"/>
            <w:noWrap w:val="false"/>
          </w:tcPr>
          <w:p>
            <w:pPr>
              <w:pStyle w:val="725"/>
              <w:numPr>
                <w:ilvl w:val="0"/>
                <w:numId w:val="10"/>
              </w:num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4"/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7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4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Комплект штор и 1-рядный карниз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4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4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67" w:type="dxa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4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33 860,45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jc w:val="center"/>
          <w:trHeight w:val="2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07" w:type="dxa"/>
            <w:textDirection w:val="lrTb"/>
            <w:noWrap w:val="false"/>
          </w:tcPr>
          <w:p>
            <w:pPr>
              <w:pStyle w:val="725"/>
              <w:numPr>
                <w:ilvl w:val="0"/>
                <w:numId w:val="10"/>
              </w:num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4"/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7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4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Комплект штор и 1-рядный карниз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4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4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67" w:type="dxa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4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210 394,77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jc w:val="center"/>
          <w:trHeight w:val="2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07" w:type="dxa"/>
            <w:textDirection w:val="lrTb"/>
            <w:noWrap w:val="false"/>
          </w:tcPr>
          <w:p>
            <w:pPr>
              <w:pStyle w:val="725"/>
              <w:numPr>
                <w:ilvl w:val="0"/>
                <w:numId w:val="10"/>
              </w:num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4"/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7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4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Комплект штор 1-рядный карниз и карнизы закрытого типа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4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4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67" w:type="dxa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4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42 835,36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jc w:val="center"/>
          <w:trHeight w:val="2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07" w:type="dxa"/>
            <w:textDirection w:val="lrTb"/>
            <w:noWrap w:val="false"/>
          </w:tcPr>
          <w:p>
            <w:pPr>
              <w:pStyle w:val="725"/>
              <w:numPr>
                <w:ilvl w:val="0"/>
                <w:numId w:val="10"/>
              </w:num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4"/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7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4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Комплект штор 1-рядный карниз и карнизы закрытого типа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4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4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67" w:type="dxa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4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42 835,36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jc w:val="center"/>
          <w:trHeight w:val="2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07" w:type="dxa"/>
            <w:textDirection w:val="lrTb"/>
            <w:noWrap w:val="false"/>
          </w:tcPr>
          <w:p>
            <w:pPr>
              <w:pStyle w:val="725"/>
              <w:numPr>
                <w:ilvl w:val="0"/>
                <w:numId w:val="10"/>
              </w:num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4"/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7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4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Акустическая перегородка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4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4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67" w:type="dxa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4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19 000,00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jc w:val="center"/>
          <w:trHeight w:val="2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07" w:type="dxa"/>
            <w:textDirection w:val="lrTb"/>
            <w:noWrap w:val="false"/>
          </w:tcPr>
          <w:p>
            <w:pPr>
              <w:pStyle w:val="725"/>
              <w:numPr>
                <w:ilvl w:val="0"/>
                <w:numId w:val="10"/>
              </w:num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4"/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7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4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Акустическая перегородка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4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4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23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67" w:type="dxa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4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437 000,00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jc w:val="center"/>
          <w:trHeight w:val="2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07" w:type="dxa"/>
            <w:textDirection w:val="lrTb"/>
            <w:noWrap w:val="false"/>
          </w:tcPr>
          <w:p>
            <w:pPr>
              <w:pStyle w:val="725"/>
              <w:numPr>
                <w:ilvl w:val="0"/>
                <w:numId w:val="10"/>
              </w:num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4"/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7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4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Библиотечный шкаф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4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4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67" w:type="dxa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4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150 000,00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jc w:val="center"/>
          <w:trHeight w:val="2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07" w:type="dxa"/>
            <w:textDirection w:val="lrTb"/>
            <w:noWrap w:val="false"/>
          </w:tcPr>
          <w:p>
            <w:pPr>
              <w:pStyle w:val="725"/>
              <w:numPr>
                <w:ilvl w:val="0"/>
                <w:numId w:val="10"/>
              </w:num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4"/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7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4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Гардероб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4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4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67" w:type="dxa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4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33 580,00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jc w:val="center"/>
          <w:trHeight w:val="2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07" w:type="dxa"/>
            <w:textDirection w:val="lrTb"/>
            <w:noWrap w:val="false"/>
          </w:tcPr>
          <w:p>
            <w:pPr>
              <w:pStyle w:val="725"/>
              <w:numPr>
                <w:ilvl w:val="0"/>
                <w:numId w:val="10"/>
              </w:num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4"/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7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4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Стенд информационный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4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4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2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67" w:type="dxa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4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26 617,32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jc w:val="center"/>
          <w:trHeight w:val="2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07" w:type="dxa"/>
            <w:textDirection w:val="lrTb"/>
            <w:noWrap w:val="false"/>
          </w:tcPr>
          <w:p>
            <w:pPr>
              <w:pStyle w:val="725"/>
              <w:numPr>
                <w:ilvl w:val="0"/>
                <w:numId w:val="10"/>
              </w:num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4"/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7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4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Бренд Стена " Защитник Отечества"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4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4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67" w:type="dxa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4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22 812,40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jc w:val="center"/>
          <w:trHeight w:val="2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07" w:type="dxa"/>
            <w:textDirection w:val="lrTb"/>
            <w:noWrap w:val="false"/>
          </w:tcPr>
          <w:p>
            <w:pPr>
              <w:pStyle w:val="725"/>
              <w:numPr>
                <w:ilvl w:val="0"/>
                <w:numId w:val="10"/>
              </w:num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4"/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7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4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Картина с галерейной натяжкой на подрамник 450*2700мм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4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4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67" w:type="dxa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4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13 350,00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jc w:val="center"/>
          <w:trHeight w:val="2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07" w:type="dxa"/>
            <w:textDirection w:val="lrTb"/>
            <w:noWrap w:val="false"/>
          </w:tcPr>
          <w:p>
            <w:pPr>
              <w:pStyle w:val="725"/>
              <w:numPr>
                <w:ilvl w:val="0"/>
                <w:numId w:val="10"/>
              </w:num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4"/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7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4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Карта НСО с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адресами,которые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оказывают реабилитационные услуги участникам СВО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4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4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67" w:type="dxa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4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11 300,00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jc w:val="center"/>
          <w:trHeight w:val="2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07" w:type="dxa"/>
            <w:textDirection w:val="lrTb"/>
            <w:noWrap w:val="false"/>
          </w:tcPr>
          <w:p>
            <w:pPr>
              <w:pStyle w:val="725"/>
              <w:numPr>
                <w:ilvl w:val="0"/>
                <w:numId w:val="10"/>
              </w:num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4"/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7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4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Цветник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Lamela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56*19*19,5 см белый с искусственным папоротником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4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4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5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67" w:type="dxa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4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79 446,00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jc w:val="center"/>
          <w:trHeight w:val="2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07" w:type="dxa"/>
            <w:textDirection w:val="lrTb"/>
            <w:noWrap w:val="false"/>
          </w:tcPr>
          <w:p>
            <w:pPr>
              <w:pStyle w:val="725"/>
              <w:numPr>
                <w:ilvl w:val="0"/>
                <w:numId w:val="10"/>
              </w:num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4"/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7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4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Кашпо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LamelaФинезия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30*30*57dluto кремовый с растением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спатифиллум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Верди d17 h70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4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4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4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667" w:type="dxa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4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83 120,00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jc w:val="center"/>
          <w:trHeight w:val="2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07" w:type="dxa"/>
            <w:textDirection w:val="lrTb"/>
            <w:noWrap w:val="false"/>
          </w:tcPr>
          <w:p>
            <w:pPr>
              <w:pStyle w:val="725"/>
              <w:numPr>
                <w:ilvl w:val="0"/>
                <w:numId w:val="10"/>
              </w:num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4"/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7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4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Кашпо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Lamela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Финезия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35*35*68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dluto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кремовый с растением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Ховея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4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4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2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67" w:type="dxa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4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50 818,00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jc w:val="center"/>
          <w:trHeight w:val="2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07" w:type="dxa"/>
            <w:textDirection w:val="lrTb"/>
            <w:noWrap w:val="false"/>
          </w:tcPr>
          <w:p>
            <w:pPr>
              <w:pStyle w:val="725"/>
              <w:numPr>
                <w:ilvl w:val="0"/>
                <w:numId w:val="10"/>
              </w:num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4"/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7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4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Греденция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4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4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67" w:type="dxa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4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32 000,00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jc w:val="center"/>
          <w:trHeight w:val="2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07" w:type="dxa"/>
            <w:textDirection w:val="lrTb"/>
            <w:noWrap w:val="false"/>
          </w:tcPr>
          <w:p>
            <w:pPr>
              <w:pStyle w:val="725"/>
              <w:numPr>
                <w:ilvl w:val="0"/>
                <w:numId w:val="10"/>
              </w:num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4"/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7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4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Греденция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 кабинет ОП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4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4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67" w:type="dxa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4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32 000,00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jc w:val="center"/>
          <w:trHeight w:val="2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07" w:type="dxa"/>
            <w:textDirection w:val="lrTb"/>
            <w:noWrap w:val="false"/>
          </w:tcPr>
          <w:p>
            <w:pPr>
              <w:pStyle w:val="725"/>
              <w:numPr>
                <w:ilvl w:val="0"/>
                <w:numId w:val="10"/>
              </w:num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4"/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7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4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Диван в кабинет ОП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4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4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67" w:type="dxa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4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54 500,00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jc w:val="center"/>
          <w:trHeight w:val="2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07" w:type="dxa"/>
            <w:textDirection w:val="lrTb"/>
            <w:noWrap w:val="false"/>
          </w:tcPr>
          <w:p>
            <w:pPr>
              <w:pStyle w:val="725"/>
              <w:numPr>
                <w:ilvl w:val="0"/>
                <w:numId w:val="10"/>
              </w:num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4"/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7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4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Диван для ожидания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4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4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67" w:type="dxa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4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225 000,00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jc w:val="center"/>
          <w:trHeight w:val="2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07" w:type="dxa"/>
            <w:textDirection w:val="lrTb"/>
            <w:noWrap w:val="false"/>
          </w:tcPr>
          <w:p>
            <w:pPr>
              <w:pStyle w:val="725"/>
              <w:numPr>
                <w:ilvl w:val="0"/>
                <w:numId w:val="10"/>
              </w:num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4"/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7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4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Диван для посетителей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4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4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2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67" w:type="dxa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4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109 000,00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jc w:val="center"/>
          <w:trHeight w:val="2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07" w:type="dxa"/>
            <w:textDirection w:val="lrTb"/>
            <w:noWrap w:val="false"/>
          </w:tcPr>
          <w:p>
            <w:pPr>
              <w:pStyle w:val="725"/>
              <w:numPr>
                <w:ilvl w:val="0"/>
                <w:numId w:val="10"/>
              </w:num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4"/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7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4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Журнальный стол для комнаты общения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4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4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67" w:type="dxa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4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38 600,00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jc w:val="center"/>
          <w:trHeight w:val="2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07" w:type="dxa"/>
            <w:textDirection w:val="lrTb"/>
            <w:noWrap w:val="false"/>
          </w:tcPr>
          <w:p>
            <w:pPr>
              <w:pStyle w:val="725"/>
              <w:numPr>
                <w:ilvl w:val="0"/>
                <w:numId w:val="10"/>
              </w:num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4"/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7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4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Журнальный столик для библиотеки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4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4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2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67" w:type="dxa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4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45 000,00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jc w:val="center"/>
          <w:trHeight w:val="2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07" w:type="dxa"/>
            <w:textDirection w:val="lrTb"/>
            <w:noWrap w:val="false"/>
          </w:tcPr>
          <w:p>
            <w:pPr>
              <w:pStyle w:val="725"/>
              <w:numPr>
                <w:ilvl w:val="0"/>
                <w:numId w:val="10"/>
              </w:num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4"/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7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4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Информационный стенд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4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4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2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67" w:type="dxa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4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27 200,00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jc w:val="center"/>
          <w:trHeight w:val="2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07" w:type="dxa"/>
            <w:textDirection w:val="lrTb"/>
            <w:noWrap w:val="false"/>
          </w:tcPr>
          <w:p>
            <w:pPr>
              <w:pStyle w:val="725"/>
              <w:numPr>
                <w:ilvl w:val="0"/>
                <w:numId w:val="10"/>
              </w:num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4"/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7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4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Комплект перегородок по периметру конференц-зала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4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4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67" w:type="dxa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4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787 500,00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jc w:val="center"/>
          <w:trHeight w:val="2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07" w:type="dxa"/>
            <w:textDirection w:val="lrTb"/>
            <w:noWrap w:val="false"/>
          </w:tcPr>
          <w:p>
            <w:pPr>
              <w:pStyle w:val="725"/>
              <w:numPr>
                <w:ilvl w:val="0"/>
                <w:numId w:val="10"/>
              </w:num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4"/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7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4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Кресло для библиотеки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4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4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3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67" w:type="dxa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4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172 500,00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jc w:val="center"/>
          <w:trHeight w:val="2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07" w:type="dxa"/>
            <w:textDirection w:val="lrTb"/>
            <w:noWrap w:val="false"/>
          </w:tcPr>
          <w:p>
            <w:pPr>
              <w:pStyle w:val="725"/>
              <w:numPr>
                <w:ilvl w:val="0"/>
                <w:numId w:val="10"/>
              </w:num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4"/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7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4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Кресло для доверительной беседы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4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4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5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67" w:type="dxa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4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141 250,00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jc w:val="center"/>
          <w:trHeight w:val="2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07" w:type="dxa"/>
            <w:textDirection w:val="lrTb"/>
            <w:noWrap w:val="false"/>
          </w:tcPr>
          <w:p>
            <w:pPr>
              <w:pStyle w:val="725"/>
              <w:numPr>
                <w:ilvl w:val="0"/>
                <w:numId w:val="10"/>
              </w:num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4"/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7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4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Кресло для комнаты общения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4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4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2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67" w:type="dxa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4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115 000,00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jc w:val="center"/>
          <w:trHeight w:val="2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07" w:type="dxa"/>
            <w:textDirection w:val="lrTb"/>
            <w:noWrap w:val="false"/>
          </w:tcPr>
          <w:p>
            <w:pPr>
              <w:pStyle w:val="725"/>
              <w:numPr>
                <w:ilvl w:val="0"/>
                <w:numId w:val="10"/>
              </w:num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4"/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7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4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Кресло слушателя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4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4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25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67" w:type="dxa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4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371 875,00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jc w:val="center"/>
          <w:trHeight w:val="2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07" w:type="dxa"/>
            <w:textDirection w:val="lrTb"/>
            <w:noWrap w:val="false"/>
          </w:tcPr>
          <w:p>
            <w:pPr>
              <w:pStyle w:val="725"/>
              <w:numPr>
                <w:ilvl w:val="0"/>
                <w:numId w:val="10"/>
              </w:num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4"/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7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4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Кровать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4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4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67" w:type="dxa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4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412 500,00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jc w:val="center"/>
          <w:trHeight w:val="2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07" w:type="dxa"/>
            <w:textDirection w:val="lrTb"/>
            <w:noWrap w:val="false"/>
          </w:tcPr>
          <w:p>
            <w:pPr>
              <w:pStyle w:val="725"/>
              <w:numPr>
                <w:ilvl w:val="0"/>
                <w:numId w:val="10"/>
              </w:num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4"/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7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4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Кухонный гарнитур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4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4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67" w:type="dxa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4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685 500,00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jc w:val="center"/>
          <w:trHeight w:val="2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07" w:type="dxa"/>
            <w:textDirection w:val="lrTb"/>
            <w:noWrap w:val="false"/>
          </w:tcPr>
          <w:p>
            <w:pPr>
              <w:pStyle w:val="725"/>
              <w:numPr>
                <w:ilvl w:val="0"/>
                <w:numId w:val="10"/>
              </w:num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4"/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7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4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Перегородка-стеллаж для отделения детской комнаты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4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4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67" w:type="dxa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4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345 000,00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jc w:val="center"/>
          <w:trHeight w:val="2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07" w:type="dxa"/>
            <w:textDirection w:val="lrTb"/>
            <w:noWrap w:val="false"/>
          </w:tcPr>
          <w:p>
            <w:pPr>
              <w:pStyle w:val="725"/>
              <w:numPr>
                <w:ilvl w:val="0"/>
                <w:numId w:val="10"/>
              </w:num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4"/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7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4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Примерочная для комнаты ТСР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4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4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67" w:type="dxa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4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62 000,00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jc w:val="center"/>
          <w:trHeight w:val="2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07" w:type="dxa"/>
            <w:textDirection w:val="lrTb"/>
            <w:noWrap w:val="false"/>
          </w:tcPr>
          <w:p>
            <w:pPr>
              <w:pStyle w:val="725"/>
              <w:numPr>
                <w:ilvl w:val="0"/>
                <w:numId w:val="10"/>
              </w:num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4"/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7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4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Рабочее место для приема клиента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4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4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67" w:type="dxa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4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23 500,00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jc w:val="center"/>
          <w:trHeight w:val="2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07" w:type="dxa"/>
            <w:textDirection w:val="lrTb"/>
            <w:noWrap w:val="false"/>
          </w:tcPr>
          <w:p>
            <w:pPr>
              <w:pStyle w:val="725"/>
              <w:numPr>
                <w:ilvl w:val="0"/>
                <w:numId w:val="10"/>
              </w:num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4"/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7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4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Рабочее место для приема клиента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4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4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10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67" w:type="dxa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4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235 000,00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jc w:val="center"/>
          <w:trHeight w:val="2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07" w:type="dxa"/>
            <w:textDirection w:val="lrTb"/>
            <w:noWrap w:val="false"/>
          </w:tcPr>
          <w:p>
            <w:pPr>
              <w:pStyle w:val="725"/>
              <w:numPr>
                <w:ilvl w:val="0"/>
                <w:numId w:val="10"/>
              </w:num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4"/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7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4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Рабочее место для приема клиента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4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4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5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667" w:type="dxa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4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126 250,00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jc w:val="center"/>
          <w:trHeight w:val="2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07" w:type="dxa"/>
            <w:textDirection w:val="lrTb"/>
            <w:noWrap w:val="false"/>
          </w:tcPr>
          <w:p>
            <w:pPr>
              <w:pStyle w:val="725"/>
              <w:numPr>
                <w:ilvl w:val="0"/>
                <w:numId w:val="10"/>
              </w:num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4"/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7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4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Рабочее место для приема клиента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4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4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9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67" w:type="dxa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4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202 500,00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jc w:val="center"/>
          <w:trHeight w:val="2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07" w:type="dxa"/>
            <w:textDirection w:val="lrTb"/>
            <w:noWrap w:val="false"/>
          </w:tcPr>
          <w:p>
            <w:pPr>
              <w:pStyle w:val="725"/>
              <w:numPr>
                <w:ilvl w:val="0"/>
                <w:numId w:val="10"/>
              </w:num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4"/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7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4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Рабочее место для приема клиента МГН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4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4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667" w:type="dxa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4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25 250,00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jc w:val="center"/>
          <w:trHeight w:val="2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07" w:type="dxa"/>
            <w:textDirection w:val="lrTb"/>
            <w:noWrap w:val="false"/>
          </w:tcPr>
          <w:p>
            <w:pPr>
              <w:pStyle w:val="725"/>
              <w:numPr>
                <w:ilvl w:val="0"/>
                <w:numId w:val="10"/>
              </w:num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4"/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7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4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Рабочее место психолога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4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4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667" w:type="dxa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4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27 500,00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jc w:val="center"/>
          <w:trHeight w:val="2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07" w:type="dxa"/>
            <w:textDirection w:val="lrTb"/>
            <w:noWrap w:val="false"/>
          </w:tcPr>
          <w:p>
            <w:pPr>
              <w:pStyle w:val="725"/>
              <w:numPr>
                <w:ilvl w:val="0"/>
                <w:numId w:val="10"/>
              </w:num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4"/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7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4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Рабочее место психолога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4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4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67" w:type="dxa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4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23 500,00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jc w:val="center"/>
          <w:trHeight w:val="2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07" w:type="dxa"/>
            <w:textDirection w:val="lrTb"/>
            <w:noWrap w:val="false"/>
          </w:tcPr>
          <w:p>
            <w:pPr>
              <w:pStyle w:val="725"/>
              <w:numPr>
                <w:ilvl w:val="0"/>
                <w:numId w:val="10"/>
              </w:num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4"/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7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4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Рабочее место сотрудника фонда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4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4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7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67" w:type="dxa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4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164 500,00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jc w:val="center"/>
          <w:trHeight w:val="2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07" w:type="dxa"/>
            <w:textDirection w:val="lrTb"/>
            <w:noWrap w:val="false"/>
          </w:tcPr>
          <w:p>
            <w:pPr>
              <w:pStyle w:val="725"/>
              <w:numPr>
                <w:ilvl w:val="0"/>
                <w:numId w:val="10"/>
              </w:num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4"/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7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4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Рабочий стол для МГН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4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4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67" w:type="dxa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4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47 500,00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jc w:val="center"/>
          <w:trHeight w:val="2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07" w:type="dxa"/>
            <w:textDirection w:val="lrTb"/>
            <w:noWrap w:val="false"/>
          </w:tcPr>
          <w:p>
            <w:pPr>
              <w:pStyle w:val="725"/>
              <w:numPr>
                <w:ilvl w:val="0"/>
                <w:numId w:val="10"/>
              </w:num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4"/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7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4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Ресепшен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4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4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67" w:type="dxa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4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548 000,00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jc w:val="center"/>
          <w:trHeight w:val="2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07" w:type="dxa"/>
            <w:textDirection w:val="lrTb"/>
            <w:noWrap w:val="false"/>
          </w:tcPr>
          <w:p>
            <w:pPr>
              <w:pStyle w:val="725"/>
              <w:numPr>
                <w:ilvl w:val="0"/>
                <w:numId w:val="10"/>
              </w:num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4"/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7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4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Стенд для демонстрации ТСР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4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4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67" w:type="dxa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4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48 950,00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jc w:val="center"/>
          <w:trHeight w:val="2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07" w:type="dxa"/>
            <w:textDirection w:val="lrTb"/>
            <w:noWrap w:val="false"/>
          </w:tcPr>
          <w:p>
            <w:pPr>
              <w:pStyle w:val="725"/>
              <w:numPr>
                <w:ilvl w:val="0"/>
                <w:numId w:val="10"/>
              </w:num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4"/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7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4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Стол в кабинет директора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4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4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67" w:type="dxa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4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42 000,00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jc w:val="center"/>
          <w:trHeight w:val="2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07" w:type="dxa"/>
            <w:textDirection w:val="lrTb"/>
            <w:noWrap w:val="false"/>
          </w:tcPr>
          <w:p>
            <w:pPr>
              <w:pStyle w:val="725"/>
              <w:numPr>
                <w:ilvl w:val="0"/>
                <w:numId w:val="10"/>
              </w:num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4"/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7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4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Стол для конференций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4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4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67" w:type="dxa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4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205 000,00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jc w:val="center"/>
          <w:trHeight w:val="2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07" w:type="dxa"/>
            <w:textDirection w:val="lrTb"/>
            <w:noWrap w:val="false"/>
          </w:tcPr>
          <w:p>
            <w:pPr>
              <w:pStyle w:val="725"/>
              <w:numPr>
                <w:ilvl w:val="0"/>
                <w:numId w:val="10"/>
              </w:num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4"/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7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4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Стол для переговоров в кабинет директора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4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4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67" w:type="dxa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4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52 400,00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jc w:val="center"/>
          <w:trHeight w:val="2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07" w:type="dxa"/>
            <w:textDirection w:val="lrTb"/>
            <w:noWrap w:val="false"/>
          </w:tcPr>
          <w:p>
            <w:pPr>
              <w:pStyle w:val="725"/>
              <w:numPr>
                <w:ilvl w:val="0"/>
                <w:numId w:val="10"/>
              </w:num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4"/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7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4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Стол заместителя руководителя ОП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4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4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67" w:type="dxa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4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30 150,00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jc w:val="center"/>
          <w:trHeight w:val="2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07" w:type="dxa"/>
            <w:textDirection w:val="lrTb"/>
            <w:noWrap w:val="false"/>
          </w:tcPr>
          <w:p>
            <w:pPr>
              <w:pStyle w:val="725"/>
              <w:numPr>
                <w:ilvl w:val="0"/>
                <w:numId w:val="10"/>
              </w:num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4"/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7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4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Стол руководителя общественных проектов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4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4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67" w:type="dxa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4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42 000,00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jc w:val="center"/>
          <w:trHeight w:val="2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07" w:type="dxa"/>
            <w:textDirection w:val="lrTb"/>
            <w:noWrap w:val="false"/>
          </w:tcPr>
          <w:p>
            <w:pPr>
              <w:pStyle w:val="725"/>
              <w:numPr>
                <w:ilvl w:val="0"/>
                <w:numId w:val="10"/>
              </w:num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4"/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7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4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Стул для клиента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4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4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39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67" w:type="dxa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4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643 500,00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jc w:val="center"/>
          <w:trHeight w:val="2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07" w:type="dxa"/>
            <w:textDirection w:val="lrTb"/>
            <w:noWrap w:val="false"/>
          </w:tcPr>
          <w:p>
            <w:pPr>
              <w:pStyle w:val="725"/>
              <w:numPr>
                <w:ilvl w:val="0"/>
                <w:numId w:val="10"/>
              </w:num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4"/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7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4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Стул для клиента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4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4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2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67" w:type="dxa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4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33 000,00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jc w:val="center"/>
          <w:trHeight w:val="2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07" w:type="dxa"/>
            <w:textDirection w:val="lrTb"/>
            <w:noWrap w:val="false"/>
          </w:tcPr>
          <w:p>
            <w:pPr>
              <w:pStyle w:val="725"/>
              <w:numPr>
                <w:ilvl w:val="0"/>
                <w:numId w:val="10"/>
              </w:num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4"/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7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4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Трибуна для докладов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4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4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67" w:type="dxa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4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29 500,00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jc w:val="center"/>
          <w:trHeight w:val="2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07" w:type="dxa"/>
            <w:textDirection w:val="lrTb"/>
            <w:noWrap w:val="false"/>
          </w:tcPr>
          <w:p>
            <w:pPr>
              <w:pStyle w:val="725"/>
              <w:numPr>
                <w:ilvl w:val="0"/>
                <w:numId w:val="10"/>
              </w:num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4"/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7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4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Тумба для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кофемашины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4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4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67" w:type="dxa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4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96 800,00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jc w:val="center"/>
          <w:trHeight w:val="2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07" w:type="dxa"/>
            <w:textDirection w:val="lrTb"/>
            <w:noWrap w:val="false"/>
          </w:tcPr>
          <w:p>
            <w:pPr>
              <w:pStyle w:val="725"/>
              <w:numPr>
                <w:ilvl w:val="0"/>
                <w:numId w:val="10"/>
              </w:num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4"/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7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4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Цифровое рабочее место для посетителя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4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4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3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67" w:type="dxa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4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66 000,00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jc w:val="center"/>
          <w:trHeight w:val="2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07" w:type="dxa"/>
            <w:textDirection w:val="lrTb"/>
            <w:noWrap w:val="false"/>
          </w:tcPr>
          <w:p>
            <w:pPr>
              <w:pStyle w:val="725"/>
              <w:numPr>
                <w:ilvl w:val="0"/>
                <w:numId w:val="10"/>
              </w:num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4"/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7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4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Шкаф гардероб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4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4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667" w:type="dxa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4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68 520,00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jc w:val="center"/>
          <w:trHeight w:val="2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07" w:type="dxa"/>
            <w:textDirection w:val="lrTb"/>
            <w:noWrap w:val="false"/>
          </w:tcPr>
          <w:p>
            <w:pPr>
              <w:pStyle w:val="725"/>
              <w:numPr>
                <w:ilvl w:val="0"/>
                <w:numId w:val="10"/>
              </w:num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4"/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7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4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Шкаф гардероб в кабинет ОП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4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4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67" w:type="dxa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4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36 625,00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jc w:val="center"/>
          <w:trHeight w:val="2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07" w:type="dxa"/>
            <w:textDirection w:val="lrTb"/>
            <w:noWrap w:val="false"/>
          </w:tcPr>
          <w:p>
            <w:pPr>
              <w:pStyle w:val="725"/>
              <w:numPr>
                <w:ilvl w:val="0"/>
                <w:numId w:val="10"/>
              </w:num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4"/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7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4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Шкаф гардероб в кабинет директора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4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4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67" w:type="dxa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4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36 625,00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jc w:val="center"/>
          <w:trHeight w:val="2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07" w:type="dxa"/>
            <w:textDirection w:val="lrTb"/>
            <w:noWrap w:val="false"/>
          </w:tcPr>
          <w:p>
            <w:pPr>
              <w:pStyle w:val="725"/>
              <w:numPr>
                <w:ilvl w:val="0"/>
                <w:numId w:val="10"/>
              </w:num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4"/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7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4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Шкаф гардероб в кабинет психолога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4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4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67" w:type="dxa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4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22 600,00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jc w:val="center"/>
          <w:trHeight w:val="2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07" w:type="dxa"/>
            <w:textDirection w:val="lrTb"/>
            <w:noWrap w:val="false"/>
          </w:tcPr>
          <w:p>
            <w:pPr>
              <w:pStyle w:val="725"/>
              <w:numPr>
                <w:ilvl w:val="0"/>
                <w:numId w:val="10"/>
              </w:num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4"/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7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4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Шкаф для документов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4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4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13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67" w:type="dxa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4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307 125,00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jc w:val="center"/>
          <w:trHeight w:val="2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07" w:type="dxa"/>
            <w:textDirection w:val="lrTb"/>
            <w:noWrap w:val="false"/>
          </w:tcPr>
          <w:p>
            <w:pPr>
              <w:pStyle w:val="725"/>
              <w:numPr>
                <w:ilvl w:val="0"/>
                <w:numId w:val="10"/>
              </w:num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4"/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7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4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Шкаф для документов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4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4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2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67" w:type="dxa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4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56 000,00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jc w:val="center"/>
          <w:trHeight w:val="2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07" w:type="dxa"/>
            <w:textDirection w:val="lrTb"/>
            <w:noWrap w:val="false"/>
          </w:tcPr>
          <w:p>
            <w:pPr>
              <w:pStyle w:val="725"/>
              <w:numPr>
                <w:ilvl w:val="0"/>
                <w:numId w:val="10"/>
              </w:num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4"/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7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4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Шкаф для документов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4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4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12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67" w:type="dxa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4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283 500,00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jc w:val="center"/>
          <w:trHeight w:val="2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07" w:type="dxa"/>
            <w:textDirection w:val="lrTb"/>
            <w:noWrap w:val="false"/>
          </w:tcPr>
          <w:p>
            <w:pPr>
              <w:pStyle w:val="725"/>
              <w:numPr>
                <w:ilvl w:val="0"/>
                <w:numId w:val="10"/>
              </w:num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4"/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7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4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Шкаф для документов в кабинет ОП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4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4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67" w:type="dxa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4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48 375,00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jc w:val="center"/>
          <w:trHeight w:val="2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07" w:type="dxa"/>
            <w:textDirection w:val="lrTb"/>
            <w:noWrap w:val="false"/>
          </w:tcPr>
          <w:p>
            <w:pPr>
              <w:pStyle w:val="725"/>
              <w:numPr>
                <w:ilvl w:val="0"/>
                <w:numId w:val="10"/>
              </w:num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4"/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7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4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Шкаф для документов в кабинет директора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4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4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67" w:type="dxa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4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48 375,00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jc w:val="center"/>
          <w:trHeight w:val="2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07" w:type="dxa"/>
            <w:textDirection w:val="lrTb"/>
            <w:noWrap w:val="false"/>
          </w:tcPr>
          <w:p>
            <w:pPr>
              <w:pStyle w:val="725"/>
              <w:numPr>
                <w:ilvl w:val="0"/>
                <w:numId w:val="10"/>
              </w:num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4"/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7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4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Шкаф для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кофемашины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4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4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67" w:type="dxa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4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115 000,00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jc w:val="center"/>
          <w:trHeight w:val="2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07" w:type="dxa"/>
            <w:textDirection w:val="lrTb"/>
            <w:noWrap w:val="false"/>
          </w:tcPr>
          <w:p>
            <w:pPr>
              <w:pStyle w:val="725"/>
              <w:numPr>
                <w:ilvl w:val="0"/>
                <w:numId w:val="10"/>
              </w:num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4"/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7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4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Шкаф-витрина для комнаты общения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4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4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67" w:type="dxa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4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55 000,00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jc w:val="center"/>
          <w:trHeight w:val="2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07" w:type="dxa"/>
            <w:textDirection w:val="lrTb"/>
            <w:noWrap w:val="false"/>
          </w:tcPr>
          <w:p>
            <w:pPr>
              <w:pStyle w:val="725"/>
              <w:numPr>
                <w:ilvl w:val="0"/>
                <w:numId w:val="10"/>
              </w:num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4"/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7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4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Шкафы для хранения ТСР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4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4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2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67" w:type="dxa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4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65 300,00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jc w:val="center"/>
          <w:trHeight w:val="2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07" w:type="dxa"/>
            <w:textDirection w:val="lrTb"/>
            <w:noWrap w:val="false"/>
          </w:tcPr>
          <w:p>
            <w:pPr>
              <w:pStyle w:val="725"/>
              <w:numPr>
                <w:ilvl w:val="0"/>
                <w:numId w:val="10"/>
              </w:num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4"/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7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4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Диван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4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4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67" w:type="dxa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4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18 360,16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jc w:val="center"/>
          <w:trHeight w:val="2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07" w:type="dxa"/>
            <w:textDirection w:val="lrTb"/>
            <w:noWrap w:val="false"/>
          </w:tcPr>
          <w:p>
            <w:pPr>
              <w:pStyle w:val="725"/>
              <w:numPr>
                <w:ilvl w:val="0"/>
                <w:numId w:val="10"/>
              </w:num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4"/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7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4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Журнальный столик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4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4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2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67" w:type="dxa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4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29 400,00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jc w:val="center"/>
          <w:trHeight w:val="2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07" w:type="dxa"/>
            <w:textDirection w:val="lrTb"/>
            <w:noWrap w:val="false"/>
          </w:tcPr>
          <w:p>
            <w:pPr>
              <w:pStyle w:val="725"/>
              <w:numPr>
                <w:ilvl w:val="0"/>
                <w:numId w:val="10"/>
              </w:num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4"/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7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4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Журнальный столик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4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4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67" w:type="dxa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4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27 500,00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jc w:val="center"/>
          <w:trHeight w:val="2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07" w:type="dxa"/>
            <w:textDirection w:val="lrTb"/>
            <w:noWrap w:val="false"/>
          </w:tcPr>
          <w:p>
            <w:pPr>
              <w:pStyle w:val="725"/>
              <w:numPr>
                <w:ilvl w:val="0"/>
                <w:numId w:val="10"/>
              </w:num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4"/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7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4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Журнальный столик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4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4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67" w:type="dxa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4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22 500,00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jc w:val="center"/>
          <w:trHeight w:val="2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07" w:type="dxa"/>
            <w:textDirection w:val="lrTb"/>
            <w:noWrap w:val="false"/>
          </w:tcPr>
          <w:p>
            <w:pPr>
              <w:pStyle w:val="725"/>
              <w:numPr>
                <w:ilvl w:val="0"/>
                <w:numId w:val="10"/>
              </w:num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4"/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7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4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Кресло офисное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4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4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5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67" w:type="dxa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4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92 500,00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jc w:val="center"/>
          <w:trHeight w:val="2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07" w:type="dxa"/>
            <w:textDirection w:val="lrTb"/>
            <w:noWrap w:val="false"/>
          </w:tcPr>
          <w:p>
            <w:pPr>
              <w:pStyle w:val="725"/>
              <w:numPr>
                <w:ilvl w:val="0"/>
                <w:numId w:val="10"/>
              </w:num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4"/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7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4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Кресло офисное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4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4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24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67" w:type="dxa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4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444 000,00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jc w:val="center"/>
          <w:trHeight w:val="2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07" w:type="dxa"/>
            <w:textDirection w:val="lrTb"/>
            <w:noWrap w:val="false"/>
          </w:tcPr>
          <w:p>
            <w:pPr>
              <w:pStyle w:val="725"/>
              <w:numPr>
                <w:ilvl w:val="0"/>
                <w:numId w:val="10"/>
              </w:num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4"/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7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4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Кресло заместителя руководителя ОП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4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4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67" w:type="dxa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4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18 500,00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jc w:val="center"/>
          <w:trHeight w:val="2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07" w:type="dxa"/>
            <w:textDirection w:val="lrTb"/>
            <w:noWrap w:val="false"/>
          </w:tcPr>
          <w:p>
            <w:pPr>
              <w:pStyle w:val="725"/>
              <w:numPr>
                <w:ilvl w:val="0"/>
                <w:numId w:val="10"/>
              </w:num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4"/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7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4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Кресло для цифрового места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4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4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3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67" w:type="dxa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4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30 300,00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jc w:val="center"/>
          <w:trHeight w:val="2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07" w:type="dxa"/>
            <w:textDirection w:val="lrTb"/>
            <w:noWrap w:val="false"/>
          </w:tcPr>
          <w:p>
            <w:pPr>
              <w:pStyle w:val="725"/>
              <w:numPr>
                <w:ilvl w:val="0"/>
                <w:numId w:val="10"/>
              </w:num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4"/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7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4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Кресло руководителя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4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4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2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667" w:type="dxa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4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80 250,00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jc w:val="center"/>
          <w:trHeight w:val="2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07" w:type="dxa"/>
            <w:textDirection w:val="lrTb"/>
            <w:noWrap w:val="false"/>
          </w:tcPr>
          <w:p>
            <w:pPr>
              <w:pStyle w:val="725"/>
              <w:numPr>
                <w:ilvl w:val="0"/>
                <w:numId w:val="10"/>
              </w:num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4"/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7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4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Шкаф бухгалтерский металлический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4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4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2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67" w:type="dxa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4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43 738,86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jc w:val="center"/>
          <w:trHeight w:val="2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07" w:type="dxa"/>
            <w:textDirection w:val="lrTb"/>
            <w:noWrap w:val="false"/>
          </w:tcPr>
          <w:p>
            <w:pPr>
              <w:pStyle w:val="725"/>
              <w:numPr>
                <w:ilvl w:val="0"/>
                <w:numId w:val="10"/>
              </w:num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4"/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7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4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Комплект штор 1-рядный карниз и карнизы закрытого типа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4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4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67" w:type="dxa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4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69 789,48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jc w:val="center"/>
          <w:trHeight w:val="2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07" w:type="dxa"/>
            <w:textDirection w:val="lrTb"/>
            <w:noWrap w:val="false"/>
          </w:tcPr>
          <w:p>
            <w:pPr>
              <w:pStyle w:val="725"/>
              <w:numPr>
                <w:ilvl w:val="0"/>
                <w:numId w:val="10"/>
              </w:num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4"/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7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4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Комплект штор 1-рядный карниз и карнизы закрытого типа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4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4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67" w:type="dxa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4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69 789,48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jc w:val="center"/>
          <w:trHeight w:val="2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07" w:type="dxa"/>
            <w:textDirection w:val="lrTb"/>
            <w:noWrap w:val="false"/>
          </w:tcPr>
          <w:p>
            <w:pPr>
              <w:pStyle w:val="725"/>
              <w:numPr>
                <w:ilvl w:val="0"/>
                <w:numId w:val="10"/>
              </w:num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4"/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7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4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Комплект штор и 1-рядный карниз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4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4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67" w:type="dxa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4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40 511,02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jc w:val="center"/>
          <w:trHeight w:val="2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07" w:type="dxa"/>
            <w:textDirection w:val="lrTb"/>
            <w:noWrap w:val="false"/>
          </w:tcPr>
          <w:p>
            <w:pPr>
              <w:pStyle w:val="725"/>
              <w:numPr>
                <w:ilvl w:val="0"/>
                <w:numId w:val="10"/>
              </w:num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4"/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7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4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Сейф AIKO ТМ-63Т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4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4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67" w:type="dxa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4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20 000,00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jc w:val="center"/>
          <w:trHeight w:val="2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07" w:type="dxa"/>
            <w:textDirection w:val="lrTb"/>
            <w:noWrap w:val="false"/>
          </w:tcPr>
          <w:p>
            <w:pPr>
              <w:pStyle w:val="725"/>
              <w:numPr>
                <w:ilvl w:val="0"/>
                <w:numId w:val="10"/>
              </w:num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4"/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7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4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Вывеска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4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4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67" w:type="dxa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4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229 000,00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jc w:val="center"/>
          <w:trHeight w:val="2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07" w:type="dxa"/>
            <w:textDirection w:val="lrTb"/>
            <w:noWrap w:val="false"/>
          </w:tcPr>
          <w:p>
            <w:pPr>
              <w:pStyle w:val="725"/>
              <w:numPr>
                <w:ilvl w:val="0"/>
                <w:numId w:val="10"/>
              </w:num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4"/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7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4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Арочный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металлодетектор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БЛОКПОСТ РС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Z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600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4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4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67" w:type="dxa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4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162 000,00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jc w:val="center"/>
          <w:trHeight w:val="2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07" w:type="dxa"/>
            <w:textDirection w:val="lrTb"/>
            <w:noWrap w:val="false"/>
          </w:tcPr>
          <w:p>
            <w:pPr>
              <w:pStyle w:val="725"/>
              <w:numPr>
                <w:ilvl w:val="0"/>
                <w:numId w:val="10"/>
              </w:num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4"/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7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4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Брелок звуковой с радиопоиском-1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4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4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67" w:type="dxa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4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929,00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jc w:val="center"/>
          <w:trHeight w:val="2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07" w:type="dxa"/>
            <w:textDirection w:val="lrTb"/>
            <w:noWrap w:val="false"/>
          </w:tcPr>
          <w:p>
            <w:pPr>
              <w:pStyle w:val="725"/>
              <w:numPr>
                <w:ilvl w:val="0"/>
                <w:numId w:val="10"/>
              </w:num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79" w:type="dxa"/>
            <w:textDirection w:val="lrTb"/>
            <w:noWrap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Велотренажер для рук и ног с шагомером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Barry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24398/P/R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42" w:type="dxa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67" w:type="dxa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2 890,00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jc w:val="center"/>
          <w:trHeight w:val="2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07" w:type="dxa"/>
            <w:textDirection w:val="lrTb"/>
            <w:noWrap w:val="false"/>
          </w:tcPr>
          <w:p>
            <w:pPr>
              <w:pStyle w:val="725"/>
              <w:numPr>
                <w:ilvl w:val="0"/>
                <w:numId w:val="10"/>
              </w:num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79" w:type="dxa"/>
            <w:textDirection w:val="lrTb"/>
            <w:noWrap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Веревочная лестница Mega-Les-01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42" w:type="dxa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67" w:type="dxa"/>
            <w:textDirection w:val="lrTb"/>
            <w:noWrap/>
          </w:tcPr>
          <w:p>
            <w:pPr>
              <w:ind w:right="696"/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1 300,00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jc w:val="center"/>
          <w:trHeight w:val="2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07" w:type="dxa"/>
            <w:textDirection w:val="lrTb"/>
            <w:noWrap w:val="false"/>
          </w:tcPr>
          <w:p>
            <w:pPr>
              <w:pStyle w:val="725"/>
              <w:numPr>
                <w:ilvl w:val="0"/>
                <w:numId w:val="10"/>
              </w:num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79" w:type="dxa"/>
            <w:textDirection w:val="lrTb"/>
            <w:noWrap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Костыль подмышечный KS 502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42" w:type="dxa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67" w:type="dxa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1 800,00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jc w:val="center"/>
          <w:trHeight w:val="2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07" w:type="dxa"/>
            <w:textDirection w:val="lrTb"/>
            <w:noWrap w:val="false"/>
          </w:tcPr>
          <w:p>
            <w:pPr>
              <w:pStyle w:val="725"/>
              <w:numPr>
                <w:ilvl w:val="0"/>
                <w:numId w:val="10"/>
              </w:num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79" w:type="dxa"/>
            <w:textDirection w:val="lrTb"/>
            <w:noWrap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Костыль с опорой под локоть KR405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42" w:type="dxa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67" w:type="dxa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900,00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jc w:val="center"/>
          <w:trHeight w:val="2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07" w:type="dxa"/>
            <w:textDirection w:val="lrTb"/>
            <w:noWrap w:val="false"/>
          </w:tcPr>
          <w:p>
            <w:pPr>
              <w:pStyle w:val="725"/>
              <w:numPr>
                <w:ilvl w:val="0"/>
                <w:numId w:val="10"/>
              </w:num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79" w:type="dxa"/>
            <w:textDirection w:val="lrTb"/>
            <w:noWrap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Кресло-туалет WC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Econom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42" w:type="dxa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67" w:type="dxa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3 200,00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jc w:val="center"/>
          <w:trHeight w:val="2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07" w:type="dxa"/>
            <w:textDirection w:val="lrTb"/>
            <w:noWrap w:val="false"/>
          </w:tcPr>
          <w:p>
            <w:pPr>
              <w:pStyle w:val="725"/>
              <w:numPr>
                <w:ilvl w:val="0"/>
                <w:numId w:val="10"/>
              </w:num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79" w:type="dxa"/>
            <w:textDirection w:val="lrTb"/>
            <w:noWrap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Кронштейн для ТВ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42" w:type="dxa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67" w:type="dxa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5 100,00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jc w:val="center"/>
          <w:trHeight w:val="2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07" w:type="dxa"/>
            <w:textDirection w:val="lrTb"/>
            <w:noWrap w:val="false"/>
          </w:tcPr>
          <w:p>
            <w:pPr>
              <w:pStyle w:val="725"/>
              <w:numPr>
                <w:ilvl w:val="0"/>
                <w:numId w:val="10"/>
              </w:num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79" w:type="dxa"/>
            <w:textDirection w:val="lrTb"/>
            <w:noWrap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Кулер для воды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42" w:type="dxa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667" w:type="dxa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14 166,66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jc w:val="center"/>
          <w:trHeight w:val="2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07" w:type="dxa"/>
            <w:textDirection w:val="lrTb"/>
            <w:noWrap w:val="false"/>
          </w:tcPr>
          <w:p>
            <w:pPr>
              <w:pStyle w:val="725"/>
              <w:numPr>
                <w:ilvl w:val="0"/>
                <w:numId w:val="10"/>
              </w:num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7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Кулер для воды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42" w:type="dxa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67" w:type="dxa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7 083,34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jc w:val="center"/>
          <w:trHeight w:val="2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07" w:type="dxa"/>
            <w:textDirection w:val="lrTb"/>
            <w:noWrap w:val="false"/>
          </w:tcPr>
          <w:p>
            <w:pPr>
              <w:pStyle w:val="725"/>
              <w:numPr>
                <w:ilvl w:val="0"/>
                <w:numId w:val="10"/>
              </w:num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79" w:type="dxa"/>
            <w:textDirection w:val="lrTb"/>
            <w:noWrap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Кулер для воды SONNEN FSE-02H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42" w:type="dxa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67" w:type="dxa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30 000,00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jc w:val="center"/>
          <w:trHeight w:val="2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07" w:type="dxa"/>
            <w:textDirection w:val="lrTb"/>
            <w:noWrap w:val="false"/>
          </w:tcPr>
          <w:p>
            <w:pPr>
              <w:pStyle w:val="725"/>
              <w:numPr>
                <w:ilvl w:val="0"/>
                <w:numId w:val="10"/>
              </w:num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79" w:type="dxa"/>
            <w:textDirection w:val="lrTb"/>
            <w:noWrap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Лесенка для ванной комнаты с поручнем KJT 569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42" w:type="dxa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667" w:type="dxa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4 300,00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jc w:val="center"/>
          <w:trHeight w:val="2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07" w:type="dxa"/>
            <w:textDirection w:val="lrTb"/>
            <w:noWrap w:val="false"/>
          </w:tcPr>
          <w:p>
            <w:pPr>
              <w:pStyle w:val="725"/>
              <w:numPr>
                <w:ilvl w:val="0"/>
                <w:numId w:val="10"/>
              </w:num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79" w:type="dxa"/>
            <w:textDirection w:val="lrTb"/>
            <w:noWrap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Матрас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противопролежневый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"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Orthoforma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" с компрессором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42" w:type="dxa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67" w:type="dxa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1 900,00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jc w:val="center"/>
          <w:trHeight w:val="2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07" w:type="dxa"/>
            <w:textDirection w:val="lrTb"/>
            <w:noWrap w:val="false"/>
          </w:tcPr>
          <w:p>
            <w:pPr>
              <w:pStyle w:val="725"/>
              <w:numPr>
                <w:ilvl w:val="0"/>
                <w:numId w:val="10"/>
              </w:num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79" w:type="dxa"/>
            <w:textDirection w:val="lrTb"/>
            <w:noWrap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Микроволновая печь HORIZONT 20MW700-1378В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42" w:type="dxa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67" w:type="dxa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7 000,00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jc w:val="center"/>
          <w:trHeight w:val="2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07" w:type="dxa"/>
            <w:textDirection w:val="lrTb"/>
            <w:noWrap w:val="false"/>
          </w:tcPr>
          <w:p>
            <w:pPr>
              <w:pStyle w:val="725"/>
              <w:numPr>
                <w:ilvl w:val="0"/>
                <w:numId w:val="10"/>
              </w:num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79" w:type="dxa"/>
            <w:textDirection w:val="lrTb"/>
            <w:noWrap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Опора под спину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Ortonica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HR3000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42" w:type="dxa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67" w:type="dxa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2 790,00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jc w:val="center"/>
          <w:trHeight w:val="2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07" w:type="dxa"/>
            <w:textDirection w:val="lrTb"/>
            <w:noWrap w:val="false"/>
          </w:tcPr>
          <w:p>
            <w:pPr>
              <w:pStyle w:val="725"/>
              <w:numPr>
                <w:ilvl w:val="0"/>
                <w:numId w:val="10"/>
              </w:num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79" w:type="dxa"/>
            <w:textDirection w:val="lrTb"/>
            <w:noWrap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Подушка 7,5 см Mega-PP-02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42" w:type="dxa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67" w:type="dxa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1 400,00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jc w:val="center"/>
          <w:trHeight w:val="2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07" w:type="dxa"/>
            <w:textDirection w:val="lrTb"/>
            <w:noWrap w:val="false"/>
          </w:tcPr>
          <w:p>
            <w:pPr>
              <w:pStyle w:val="725"/>
              <w:numPr>
                <w:ilvl w:val="0"/>
                <w:numId w:val="10"/>
              </w:num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79" w:type="dxa"/>
            <w:textDirection w:val="lrTb"/>
            <w:noWrap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Поручень для ванн 10403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42" w:type="dxa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667" w:type="dxa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950,00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jc w:val="center"/>
          <w:trHeight w:val="2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07" w:type="dxa"/>
            <w:textDirection w:val="lrTb"/>
            <w:noWrap w:val="false"/>
          </w:tcPr>
          <w:p>
            <w:pPr>
              <w:pStyle w:val="725"/>
              <w:numPr>
                <w:ilvl w:val="0"/>
                <w:numId w:val="10"/>
              </w:num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79" w:type="dxa"/>
            <w:textDirection w:val="lrTb"/>
            <w:noWrap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Поручень для санитарно-гигиенических комнат 8802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42" w:type="dxa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67" w:type="dxa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2 300,00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jc w:val="center"/>
          <w:trHeight w:val="2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07" w:type="dxa"/>
            <w:textDirection w:val="lrTb"/>
            <w:noWrap w:val="false"/>
          </w:tcPr>
          <w:p>
            <w:pPr>
              <w:pStyle w:val="725"/>
              <w:numPr>
                <w:ilvl w:val="0"/>
                <w:numId w:val="10"/>
              </w:num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79" w:type="dxa"/>
            <w:textDirection w:val="lrTb"/>
            <w:noWrap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Поручень для санитарно-гигиенических комнат 8872 (белый)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42" w:type="dxa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67" w:type="dxa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1 550,00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jc w:val="center"/>
          <w:trHeight w:val="2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07" w:type="dxa"/>
            <w:textDirection w:val="lrTb"/>
            <w:noWrap w:val="false"/>
          </w:tcPr>
          <w:p>
            <w:pPr>
              <w:pStyle w:val="725"/>
              <w:numPr>
                <w:ilvl w:val="0"/>
                <w:numId w:val="10"/>
              </w:num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79" w:type="dxa"/>
            <w:textDirection w:val="lrTb"/>
            <w:noWrap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Стол прикроватный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Ortonica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СП100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42" w:type="dxa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67" w:type="dxa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4 600,00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jc w:val="center"/>
          <w:trHeight w:val="2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07" w:type="dxa"/>
            <w:textDirection w:val="lrTb"/>
            <w:noWrap w:val="false"/>
          </w:tcPr>
          <w:p>
            <w:pPr>
              <w:pStyle w:val="725"/>
              <w:numPr>
                <w:ilvl w:val="0"/>
                <w:numId w:val="10"/>
              </w:num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79" w:type="dxa"/>
            <w:textDirection w:val="lrTb"/>
            <w:noWrap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Табурет для ванны LUX 565 (поворотное сиденье)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42" w:type="dxa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67" w:type="dxa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1 900,00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jc w:val="center"/>
          <w:trHeight w:val="2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07" w:type="dxa"/>
            <w:textDirection w:val="lrTb"/>
            <w:noWrap w:val="false"/>
          </w:tcPr>
          <w:p>
            <w:pPr>
              <w:pStyle w:val="725"/>
              <w:numPr>
                <w:ilvl w:val="0"/>
                <w:numId w:val="10"/>
              </w:num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79" w:type="dxa"/>
            <w:textDirection w:val="lrTb"/>
            <w:noWrap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Трость с деревянной ручкой Дерби ТР1(01) с УПС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42" w:type="dxa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67" w:type="dxa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790,00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jc w:val="center"/>
          <w:trHeight w:val="2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07" w:type="dxa"/>
            <w:textDirection w:val="lrTb"/>
            <w:noWrap w:val="false"/>
          </w:tcPr>
          <w:p>
            <w:pPr>
              <w:pStyle w:val="725"/>
              <w:numPr>
                <w:ilvl w:val="0"/>
                <w:numId w:val="10"/>
              </w:num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79" w:type="dxa"/>
            <w:textDirection w:val="lrTb"/>
            <w:noWrap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Ходунки шагающие серии W:W HR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42" w:type="dxa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67" w:type="dxa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2 900,00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jc w:val="center"/>
          <w:trHeight w:val="2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07" w:type="dxa"/>
            <w:textDirection w:val="lrTb"/>
            <w:noWrap w:val="false"/>
          </w:tcPr>
          <w:p>
            <w:pPr>
              <w:pStyle w:val="725"/>
              <w:numPr>
                <w:ilvl w:val="0"/>
                <w:numId w:val="10"/>
              </w:num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79" w:type="dxa"/>
            <w:textDirection w:val="lrTb"/>
            <w:noWrap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Держатель рельефный для чашек арт. DK32U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42" w:type="dxa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67" w:type="dxa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850,00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jc w:val="center"/>
          <w:trHeight w:val="2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07" w:type="dxa"/>
            <w:textDirection w:val="lrTb"/>
            <w:noWrap w:val="false"/>
          </w:tcPr>
          <w:p>
            <w:pPr>
              <w:pStyle w:val="725"/>
              <w:numPr>
                <w:ilvl w:val="0"/>
                <w:numId w:val="10"/>
              </w:num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7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Захват для надевания рубашек и ложка для одевания обуви DA-5202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42" w:type="dxa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67" w:type="dxa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1 313,00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jc w:val="center"/>
          <w:trHeight w:val="2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07" w:type="dxa"/>
            <w:textDirection w:val="lrTb"/>
            <w:noWrap w:val="false"/>
          </w:tcPr>
          <w:p>
            <w:pPr>
              <w:pStyle w:val="725"/>
              <w:numPr>
                <w:ilvl w:val="0"/>
                <w:numId w:val="10"/>
              </w:num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7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Карандашница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Размеры общие:100*100*100 (Ш*Д*В)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ммМатериал:МДФПокрытие:Краска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/Эмаль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42" w:type="dxa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67" w:type="dxa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900,00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jc w:val="center"/>
          <w:trHeight w:val="2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07" w:type="dxa"/>
            <w:textDirection w:val="lrTb"/>
            <w:noWrap w:val="false"/>
          </w:tcPr>
          <w:p>
            <w:pPr>
              <w:pStyle w:val="725"/>
              <w:numPr>
                <w:ilvl w:val="0"/>
                <w:numId w:val="10"/>
              </w:num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79" w:type="dxa"/>
            <w:textDirection w:val="lrTb"/>
            <w:noWrap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Картина с галерейной натяжкой на подрамник 200*200мм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42" w:type="dxa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5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67" w:type="dxa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6 750,00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jc w:val="center"/>
          <w:trHeight w:val="2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07" w:type="dxa"/>
            <w:textDirection w:val="lrTb"/>
            <w:noWrap w:val="false"/>
          </w:tcPr>
          <w:p>
            <w:pPr>
              <w:pStyle w:val="725"/>
              <w:numPr>
                <w:ilvl w:val="0"/>
                <w:numId w:val="10"/>
              </w:num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79" w:type="dxa"/>
            <w:textDirection w:val="lrTb"/>
            <w:noWrap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Картина с галерейной натяжкой на подрамник 500*500мм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42" w:type="dxa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67" w:type="dxa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22 020,00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jc w:val="center"/>
          <w:trHeight w:val="2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07" w:type="dxa"/>
            <w:textDirection w:val="lrTb"/>
            <w:noWrap w:val="false"/>
          </w:tcPr>
          <w:p>
            <w:pPr>
              <w:pStyle w:val="725"/>
              <w:numPr>
                <w:ilvl w:val="0"/>
                <w:numId w:val="10"/>
              </w:num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79" w:type="dxa"/>
            <w:textDirection w:val="lrTb"/>
            <w:noWrap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Качалка напольная зеленого цвета пластиковая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42" w:type="dxa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67" w:type="dxa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4 050,00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jc w:val="center"/>
          <w:trHeight w:val="2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07" w:type="dxa"/>
            <w:textDirection w:val="lrTb"/>
            <w:noWrap w:val="false"/>
          </w:tcPr>
          <w:p>
            <w:pPr>
              <w:pStyle w:val="725"/>
              <w:numPr>
                <w:ilvl w:val="0"/>
                <w:numId w:val="10"/>
              </w:num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7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Кашпо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Lamela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d30 h60см белый с растением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Сансевиерия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Зеланика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Гринлайн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42" w:type="dxa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67" w:type="dxa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18 489,00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jc w:val="center"/>
          <w:trHeight w:val="2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07" w:type="dxa"/>
            <w:textDirection w:val="lrTb"/>
            <w:noWrap w:val="false"/>
          </w:tcPr>
          <w:p>
            <w:pPr>
              <w:pStyle w:val="725"/>
              <w:numPr>
                <w:ilvl w:val="0"/>
                <w:numId w:val="10"/>
              </w:num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79" w:type="dxa"/>
            <w:textDirection w:val="lrTb"/>
            <w:noWrap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Кашпо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Lamela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d30 h60см белый с растением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Ховея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42" w:type="dxa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67" w:type="dxa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8 098,90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jc w:val="center"/>
          <w:trHeight w:val="2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07" w:type="dxa"/>
            <w:textDirection w:val="lrTb"/>
            <w:noWrap w:val="false"/>
          </w:tcPr>
          <w:p>
            <w:pPr>
              <w:pStyle w:val="725"/>
              <w:numPr>
                <w:ilvl w:val="0"/>
                <w:numId w:val="10"/>
              </w:num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79" w:type="dxa"/>
            <w:textDirection w:val="lrTb"/>
            <w:noWrap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Кашпо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Lamela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на ножках d16 h17,5 с растением кофе арабика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42" w:type="dxa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16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67" w:type="dxa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30 308,80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jc w:val="center"/>
          <w:trHeight w:val="2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07" w:type="dxa"/>
            <w:textDirection w:val="lrTb"/>
            <w:noWrap w:val="false"/>
          </w:tcPr>
          <w:p>
            <w:pPr>
              <w:pStyle w:val="725"/>
              <w:numPr>
                <w:ilvl w:val="0"/>
                <w:numId w:val="10"/>
              </w:num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79" w:type="dxa"/>
            <w:textDirection w:val="lrTb"/>
            <w:noWrap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Кашпо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Lamela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на ножках d16 h17,5 с растением фикус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Кинки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42" w:type="dxa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7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67" w:type="dxa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13 260,10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jc w:val="center"/>
          <w:trHeight w:val="2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07" w:type="dxa"/>
            <w:textDirection w:val="lrTb"/>
            <w:noWrap w:val="false"/>
          </w:tcPr>
          <w:p>
            <w:pPr>
              <w:pStyle w:val="725"/>
              <w:numPr>
                <w:ilvl w:val="0"/>
                <w:numId w:val="10"/>
              </w:num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7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Кашпо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Lamela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на ножках d16 h17,5 с растением филодендрон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биркини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42" w:type="dxa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7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67" w:type="dxa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13 260,10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jc w:val="center"/>
          <w:trHeight w:val="2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07" w:type="dxa"/>
            <w:textDirection w:val="lrTb"/>
            <w:noWrap w:val="false"/>
          </w:tcPr>
          <w:p>
            <w:pPr>
              <w:pStyle w:val="725"/>
              <w:numPr>
                <w:ilvl w:val="0"/>
                <w:numId w:val="10"/>
              </w:num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7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Доска магнитно-маркерная 60*90см лаковое покрытие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Attache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Economy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Ultra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42" w:type="dxa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67" w:type="dxa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4 053,00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jc w:val="center"/>
          <w:trHeight w:val="2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07" w:type="dxa"/>
            <w:textDirection w:val="lrTb"/>
            <w:noWrap w:val="false"/>
          </w:tcPr>
          <w:p>
            <w:pPr>
              <w:pStyle w:val="725"/>
              <w:numPr>
                <w:ilvl w:val="0"/>
                <w:numId w:val="10"/>
              </w:num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79" w:type="dxa"/>
            <w:textDirection w:val="lrTb"/>
            <w:noWrap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Журнальный столик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42" w:type="dxa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67" w:type="dxa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6 639,84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jc w:val="center"/>
          <w:trHeight w:val="2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07" w:type="dxa"/>
            <w:textDirection w:val="lrTb"/>
            <w:noWrap w:val="false"/>
          </w:tcPr>
          <w:p>
            <w:pPr>
              <w:pStyle w:val="725"/>
              <w:numPr>
                <w:ilvl w:val="0"/>
                <w:numId w:val="10"/>
              </w:num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79" w:type="dxa"/>
            <w:textDirection w:val="lrTb"/>
            <w:noWrap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Коврик массажный Волшебные камешки, жесткий М-515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42" w:type="dxa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67" w:type="dxa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927,00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jc w:val="center"/>
          <w:trHeight w:val="2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07" w:type="dxa"/>
            <w:textDirection w:val="lrTb"/>
            <w:noWrap w:val="false"/>
          </w:tcPr>
          <w:p>
            <w:pPr>
              <w:pStyle w:val="725"/>
              <w:numPr>
                <w:ilvl w:val="0"/>
                <w:numId w:val="10"/>
              </w:num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79" w:type="dxa"/>
            <w:textDirection w:val="lrTb"/>
            <w:noWrap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Коврик массажный Цветные камешки, мягкий М-516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42" w:type="dxa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67" w:type="dxa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1 499,00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jc w:val="center"/>
          <w:trHeight w:val="2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07" w:type="dxa"/>
            <w:textDirection w:val="lrTb"/>
            <w:noWrap w:val="false"/>
          </w:tcPr>
          <w:p>
            <w:pPr>
              <w:pStyle w:val="725"/>
              <w:numPr>
                <w:ilvl w:val="0"/>
                <w:numId w:val="10"/>
              </w:num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79" w:type="dxa"/>
            <w:textDirection w:val="lrTb"/>
            <w:noWrap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Комплект штор и 1-рядный карниз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42" w:type="dxa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67" w:type="dxa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7 616,77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jc w:val="center"/>
          <w:trHeight w:val="2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07" w:type="dxa"/>
            <w:textDirection w:val="lrTb"/>
            <w:noWrap w:val="false"/>
          </w:tcPr>
          <w:p>
            <w:pPr>
              <w:pStyle w:val="725"/>
              <w:numPr>
                <w:ilvl w:val="0"/>
                <w:numId w:val="10"/>
              </w:num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79" w:type="dxa"/>
            <w:textDirection w:val="lrTb"/>
            <w:noWrap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Комплект штор и 1-рядный карниз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42" w:type="dxa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67" w:type="dxa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7 399,41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jc w:val="center"/>
          <w:trHeight w:val="2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07" w:type="dxa"/>
            <w:textDirection w:val="lrTb"/>
            <w:noWrap w:val="false"/>
          </w:tcPr>
          <w:p>
            <w:pPr>
              <w:pStyle w:val="725"/>
              <w:numPr>
                <w:ilvl w:val="0"/>
                <w:numId w:val="10"/>
              </w:num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79" w:type="dxa"/>
            <w:textDirection w:val="lrTb"/>
            <w:noWrap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Комплект штор и 1-рядный карниз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42" w:type="dxa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67" w:type="dxa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8 661,56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jc w:val="center"/>
          <w:trHeight w:val="2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07" w:type="dxa"/>
            <w:textDirection w:val="lrTb"/>
            <w:noWrap w:val="false"/>
          </w:tcPr>
          <w:p>
            <w:pPr>
              <w:pStyle w:val="725"/>
              <w:numPr>
                <w:ilvl w:val="0"/>
                <w:numId w:val="10"/>
              </w:num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79" w:type="dxa"/>
            <w:textDirection w:val="lrTb"/>
            <w:noWrap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Комплект штор и 1-рядный карниз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42" w:type="dxa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67" w:type="dxa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6 584,85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jc w:val="center"/>
          <w:trHeight w:val="2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07" w:type="dxa"/>
            <w:textDirection w:val="lrTb"/>
            <w:noWrap w:val="false"/>
          </w:tcPr>
          <w:p>
            <w:pPr>
              <w:pStyle w:val="725"/>
              <w:numPr>
                <w:ilvl w:val="0"/>
                <w:numId w:val="10"/>
              </w:num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79" w:type="dxa"/>
            <w:textDirection w:val="lrTb"/>
            <w:noWrap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Комплект штор и 1-рядный карниз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42" w:type="dxa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67" w:type="dxa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6 584,85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jc w:val="center"/>
          <w:trHeight w:val="2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07" w:type="dxa"/>
            <w:textDirection w:val="lrTb"/>
            <w:noWrap w:val="false"/>
          </w:tcPr>
          <w:p>
            <w:pPr>
              <w:pStyle w:val="725"/>
              <w:numPr>
                <w:ilvl w:val="0"/>
                <w:numId w:val="10"/>
              </w:num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79" w:type="dxa"/>
            <w:textDirection w:val="lrTb"/>
            <w:noWrap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Комплект штор и 1-рядный карниз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42" w:type="dxa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67" w:type="dxa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8 788,00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jc w:val="center"/>
          <w:trHeight w:val="2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07" w:type="dxa"/>
            <w:textDirection w:val="lrTb"/>
            <w:noWrap w:val="false"/>
          </w:tcPr>
          <w:p>
            <w:pPr>
              <w:pStyle w:val="725"/>
              <w:numPr>
                <w:ilvl w:val="0"/>
                <w:numId w:val="10"/>
              </w:num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79" w:type="dxa"/>
            <w:textDirection w:val="lrTb"/>
            <w:noWrap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Комплект штор и 1-рядный карниз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42" w:type="dxa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67" w:type="dxa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8 085,12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jc w:val="center"/>
          <w:trHeight w:val="2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07" w:type="dxa"/>
            <w:textDirection w:val="lrTb"/>
            <w:noWrap w:val="false"/>
          </w:tcPr>
          <w:p>
            <w:pPr>
              <w:pStyle w:val="725"/>
              <w:numPr>
                <w:ilvl w:val="0"/>
                <w:numId w:val="10"/>
              </w:num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79" w:type="dxa"/>
            <w:textDirection w:val="lrTb"/>
            <w:noWrap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Комплект штор и карниз римский закрытого типа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42" w:type="dxa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667" w:type="dxa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9 990,32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jc w:val="center"/>
          <w:trHeight w:val="2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07" w:type="dxa"/>
            <w:textDirection w:val="lrTb"/>
            <w:noWrap w:val="false"/>
          </w:tcPr>
          <w:p>
            <w:pPr>
              <w:pStyle w:val="725"/>
              <w:numPr>
                <w:ilvl w:val="0"/>
                <w:numId w:val="10"/>
              </w:num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79" w:type="dxa"/>
            <w:textDirection w:val="lrTb"/>
            <w:noWrap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Комплект штор и карниз римский закрытого типа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42" w:type="dxa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67" w:type="dxa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9 777,81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jc w:val="center"/>
          <w:trHeight w:val="2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07" w:type="dxa"/>
            <w:textDirection w:val="lrTb"/>
            <w:noWrap w:val="false"/>
          </w:tcPr>
          <w:p>
            <w:pPr>
              <w:pStyle w:val="725"/>
              <w:numPr>
                <w:ilvl w:val="0"/>
                <w:numId w:val="10"/>
              </w:num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79" w:type="dxa"/>
            <w:textDirection w:val="lrTb"/>
            <w:noWrap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Кресло офисное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42" w:type="dxa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67" w:type="dxa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9 950,00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jc w:val="center"/>
          <w:trHeight w:val="2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07" w:type="dxa"/>
            <w:textDirection w:val="lrTb"/>
            <w:noWrap w:val="false"/>
          </w:tcPr>
          <w:p>
            <w:pPr>
              <w:pStyle w:val="725"/>
              <w:numPr>
                <w:ilvl w:val="0"/>
                <w:numId w:val="10"/>
              </w:num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79" w:type="dxa"/>
            <w:textDirection w:val="lrTb"/>
            <w:noWrap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Кресло сотрудника фонда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42" w:type="dxa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7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667" w:type="dxa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42 700,00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jc w:val="center"/>
          <w:trHeight w:val="2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07" w:type="dxa"/>
            <w:textDirection w:val="lrTb"/>
            <w:noWrap w:val="false"/>
          </w:tcPr>
          <w:p>
            <w:pPr>
              <w:pStyle w:val="725"/>
              <w:numPr>
                <w:ilvl w:val="0"/>
                <w:numId w:val="10"/>
              </w:num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79" w:type="dxa"/>
            <w:textDirection w:val="lrTb"/>
            <w:noWrap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ЛАМИНАТОР BRAUBERG FGK-230, А4, 60-250МКМ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42" w:type="dxa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67" w:type="dxa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7 000,00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jc w:val="center"/>
          <w:trHeight w:val="2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07" w:type="dxa"/>
            <w:textDirection w:val="lrTb"/>
            <w:noWrap w:val="false"/>
          </w:tcPr>
          <w:p>
            <w:pPr>
              <w:pStyle w:val="725"/>
              <w:numPr>
                <w:ilvl w:val="0"/>
                <w:numId w:val="10"/>
              </w:num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7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МИКРОВОЛНОВАЯ ПЕЧЬ SONNEN MW2070B-6MW, 20л, 700Вт, БЕЛАЯ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42" w:type="dxa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67" w:type="dxa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6 200,00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jc w:val="center"/>
          <w:trHeight w:val="2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07" w:type="dxa"/>
            <w:textDirection w:val="lrTb"/>
            <w:noWrap w:val="false"/>
          </w:tcPr>
          <w:p>
            <w:pPr>
              <w:pStyle w:val="725"/>
              <w:numPr>
                <w:ilvl w:val="0"/>
                <w:numId w:val="10"/>
              </w:num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7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Органайзер"Зайка"Размер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об:120*250*284(Ш*Д*В)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ммМатериал:МДФПокрытие:Краска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/Эмаль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42" w:type="dxa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67" w:type="dxa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2 925,00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jc w:val="center"/>
          <w:trHeight w:val="2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07" w:type="dxa"/>
            <w:textDirection w:val="lrTb"/>
            <w:noWrap w:val="false"/>
          </w:tcPr>
          <w:p>
            <w:pPr>
              <w:pStyle w:val="725"/>
              <w:numPr>
                <w:ilvl w:val="0"/>
                <w:numId w:val="10"/>
              </w:num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79" w:type="dxa"/>
            <w:textDirection w:val="lrTb"/>
            <w:noWrap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Палки д/скандинавской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хотьбы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TS-102 (120см)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42" w:type="dxa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67" w:type="dxa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1 153,00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jc w:val="center"/>
          <w:trHeight w:val="2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07" w:type="dxa"/>
            <w:textDirection w:val="lrTb"/>
            <w:noWrap w:val="false"/>
          </w:tcPr>
          <w:p>
            <w:pPr>
              <w:pStyle w:val="725"/>
              <w:numPr>
                <w:ilvl w:val="0"/>
                <w:numId w:val="10"/>
              </w:num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79" w:type="dxa"/>
            <w:textDirection w:val="lrTb"/>
            <w:noWrap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Поильник полимерный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42" w:type="dxa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67" w:type="dxa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130,00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jc w:val="center"/>
          <w:trHeight w:val="2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07" w:type="dxa"/>
            <w:textDirection w:val="lrTb"/>
            <w:noWrap w:val="false"/>
          </w:tcPr>
          <w:p>
            <w:pPr>
              <w:pStyle w:val="725"/>
              <w:numPr>
                <w:ilvl w:val="0"/>
                <w:numId w:val="10"/>
              </w:num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7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Приспособление для открывания банок нескользящее арт.DK77Y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42" w:type="dxa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67" w:type="dxa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333,00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jc w:val="center"/>
          <w:trHeight w:val="2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07" w:type="dxa"/>
            <w:textDirection w:val="lrTb"/>
            <w:noWrap w:val="false"/>
          </w:tcPr>
          <w:p>
            <w:pPr>
              <w:pStyle w:val="725"/>
              <w:numPr>
                <w:ilvl w:val="0"/>
                <w:numId w:val="10"/>
              </w:num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79" w:type="dxa"/>
            <w:textDirection w:val="lrTb"/>
            <w:noWrap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Стойка 300*225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42" w:type="dxa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5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67" w:type="dxa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22 256,00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jc w:val="center"/>
          <w:trHeight w:val="2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07" w:type="dxa"/>
            <w:textDirection w:val="lrTb"/>
            <w:noWrap w:val="false"/>
          </w:tcPr>
          <w:p>
            <w:pPr>
              <w:pStyle w:val="725"/>
              <w:numPr>
                <w:ilvl w:val="0"/>
                <w:numId w:val="10"/>
              </w:num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79" w:type="dxa"/>
            <w:textDirection w:val="lrTb"/>
            <w:noWrap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Стойка 300*675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42" w:type="dxa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67" w:type="dxa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11 350,56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jc w:val="center"/>
          <w:trHeight w:val="2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07" w:type="dxa"/>
            <w:textDirection w:val="lrTb"/>
            <w:noWrap w:val="false"/>
          </w:tcPr>
          <w:p>
            <w:pPr>
              <w:pStyle w:val="725"/>
              <w:numPr>
                <w:ilvl w:val="0"/>
                <w:numId w:val="10"/>
              </w:num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7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Стол"Облако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" размером 780*540(Ш*Д)мм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Материал:МДФ,массив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березы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42" w:type="dxa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67" w:type="dxa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5 925,00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jc w:val="center"/>
          <w:trHeight w:val="2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07" w:type="dxa"/>
            <w:textDirection w:val="lrTb"/>
            <w:noWrap w:val="false"/>
          </w:tcPr>
          <w:p>
            <w:pPr>
              <w:pStyle w:val="725"/>
              <w:numPr>
                <w:ilvl w:val="0"/>
                <w:numId w:val="10"/>
              </w:num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7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Стул " Зайчик" Посадка:250*250мм Высота спинки:340мм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Материал:МДФ,массив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березы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42" w:type="dxa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67" w:type="dxa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3 750,00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jc w:val="center"/>
          <w:trHeight w:val="2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07" w:type="dxa"/>
            <w:textDirection w:val="lrTb"/>
            <w:noWrap w:val="false"/>
          </w:tcPr>
          <w:p>
            <w:pPr>
              <w:pStyle w:val="725"/>
              <w:numPr>
                <w:ilvl w:val="0"/>
                <w:numId w:val="10"/>
              </w:num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7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Стул " Киска" Посадка:250*250мм Высота спинки:340мм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Материал:МДФ,массив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березы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42" w:type="dxa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67" w:type="dxa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3 750,00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jc w:val="center"/>
          <w:trHeight w:val="2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07" w:type="dxa"/>
            <w:textDirection w:val="lrTb"/>
            <w:noWrap w:val="false"/>
          </w:tcPr>
          <w:p>
            <w:pPr>
              <w:pStyle w:val="725"/>
              <w:numPr>
                <w:ilvl w:val="0"/>
                <w:numId w:val="10"/>
              </w:num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7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Стул " Мишка" Посадка:250*250мм Высота спинки:340мм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Материал:МДФ,массив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березы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42" w:type="dxa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67" w:type="dxa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3 750,00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jc w:val="center"/>
          <w:trHeight w:val="2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07" w:type="dxa"/>
            <w:textDirection w:val="lrTb"/>
            <w:noWrap w:val="false"/>
          </w:tcPr>
          <w:p>
            <w:pPr>
              <w:pStyle w:val="725"/>
              <w:numPr>
                <w:ilvl w:val="0"/>
                <w:numId w:val="10"/>
              </w:num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79" w:type="dxa"/>
            <w:textDirection w:val="lrTb"/>
            <w:noWrap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Стул для посетителя в кабинет директора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42" w:type="dxa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67" w:type="dxa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48 800,00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jc w:val="center"/>
          <w:trHeight w:val="2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07" w:type="dxa"/>
            <w:textDirection w:val="lrTb"/>
            <w:noWrap w:val="false"/>
          </w:tcPr>
          <w:p>
            <w:pPr>
              <w:pStyle w:val="725"/>
              <w:numPr>
                <w:ilvl w:val="0"/>
                <w:numId w:val="10"/>
              </w:num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79" w:type="dxa"/>
            <w:textDirection w:val="lrTb"/>
            <w:noWrap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Стул для посетителя сотрудника фонда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42" w:type="dxa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7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67" w:type="dxa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42 700,00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jc w:val="center"/>
          <w:trHeight w:val="2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07" w:type="dxa"/>
            <w:textDirection w:val="lrTb"/>
            <w:noWrap w:val="false"/>
          </w:tcPr>
          <w:p>
            <w:pPr>
              <w:pStyle w:val="725"/>
              <w:numPr>
                <w:ilvl w:val="0"/>
                <w:numId w:val="10"/>
              </w:num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79" w:type="dxa"/>
            <w:textDirection w:val="lrTb"/>
            <w:noWrap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Трость WR-421 с большой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пирамид.опорой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42" w:type="dxa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67" w:type="dxa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2 499,00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jc w:val="center"/>
          <w:trHeight w:val="2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07" w:type="dxa"/>
            <w:textDirection w:val="lrTb"/>
            <w:noWrap w:val="false"/>
          </w:tcPr>
          <w:p>
            <w:pPr>
              <w:pStyle w:val="725"/>
              <w:numPr>
                <w:ilvl w:val="0"/>
                <w:numId w:val="10"/>
              </w:num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79" w:type="dxa"/>
            <w:textDirection w:val="lrTb"/>
            <w:noWrap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Трость с сиденьем и мягкой ручкой, цвет серебро СА836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42" w:type="dxa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67" w:type="dxa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1 699,00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jc w:val="center"/>
          <w:trHeight w:val="2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07" w:type="dxa"/>
            <w:textDirection w:val="lrTb"/>
            <w:noWrap w:val="false"/>
          </w:tcPr>
          <w:p>
            <w:pPr>
              <w:pStyle w:val="725"/>
              <w:numPr>
                <w:ilvl w:val="0"/>
                <w:numId w:val="10"/>
              </w:num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79" w:type="dxa"/>
            <w:textDirection w:val="lrTb"/>
            <w:noWrap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Трость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тактильная,складная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СА853L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42" w:type="dxa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67" w:type="dxa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650,00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jc w:val="center"/>
          <w:trHeight w:val="2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07" w:type="dxa"/>
            <w:textDirection w:val="lrTb"/>
            <w:noWrap w:val="false"/>
          </w:tcPr>
          <w:p>
            <w:pPr>
              <w:pStyle w:val="725"/>
              <w:numPr>
                <w:ilvl w:val="0"/>
                <w:numId w:val="10"/>
              </w:num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79" w:type="dxa"/>
            <w:textDirection w:val="lrTb"/>
            <w:noWrap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Трость телескопическая TFS5060 (38"-44")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42" w:type="dxa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67" w:type="dxa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4 717,00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jc w:val="center"/>
          <w:trHeight w:val="2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07" w:type="dxa"/>
            <w:textDirection w:val="lrTb"/>
            <w:noWrap w:val="false"/>
          </w:tcPr>
          <w:p>
            <w:pPr>
              <w:pStyle w:val="725"/>
              <w:numPr>
                <w:ilvl w:val="0"/>
                <w:numId w:val="10"/>
              </w:num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7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Трость3-опорная не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регулир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по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высоте,без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устройства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противоскольженияС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Rest,хром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42" w:type="dxa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67" w:type="dxa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1 370,00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jc w:val="center"/>
          <w:trHeight w:val="2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07" w:type="dxa"/>
            <w:textDirection w:val="lrTb"/>
            <w:noWrap w:val="false"/>
          </w:tcPr>
          <w:p>
            <w:pPr>
              <w:pStyle w:val="725"/>
              <w:numPr>
                <w:ilvl w:val="0"/>
                <w:numId w:val="10"/>
              </w:num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79" w:type="dxa"/>
            <w:textDirection w:val="lrTb"/>
            <w:noWrap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Шкаф бухгалтерский металлический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42" w:type="dxa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67" w:type="dxa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7 176,10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jc w:val="center"/>
          <w:trHeight w:val="2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07" w:type="dxa"/>
            <w:textDirection w:val="lrTb"/>
            <w:noWrap w:val="false"/>
          </w:tcPr>
          <w:p>
            <w:pPr>
              <w:pStyle w:val="725"/>
              <w:numPr>
                <w:ilvl w:val="0"/>
                <w:numId w:val="10"/>
              </w:num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79" w:type="dxa"/>
            <w:textDirection w:val="lrTb"/>
            <w:noWrap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1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Бейдж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 лентой, Цвет красный, бежевый, нанесение логотипа в соответствии с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брендбуком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42" w:type="dxa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1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50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67" w:type="dxa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1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19 850,00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jc w:val="center"/>
          <w:trHeight w:val="2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07" w:type="dxa"/>
            <w:textDirection w:val="lrTb"/>
            <w:noWrap w:val="false"/>
          </w:tcPr>
          <w:p>
            <w:pPr>
              <w:pStyle w:val="725"/>
              <w:numPr>
                <w:ilvl w:val="0"/>
                <w:numId w:val="10"/>
              </w:num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79" w:type="dxa"/>
            <w:textDirection w:val="lrTb"/>
            <w:noWrap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1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Блок для записей ATTACHE ECONOMY, шт.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42" w:type="dxa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1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45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67" w:type="dxa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1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765,00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jc w:val="center"/>
          <w:trHeight w:val="2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07" w:type="dxa"/>
            <w:textDirection w:val="lrTb"/>
            <w:noWrap w:val="false"/>
          </w:tcPr>
          <w:p>
            <w:pPr>
              <w:pStyle w:val="725"/>
              <w:numPr>
                <w:ilvl w:val="0"/>
                <w:numId w:val="10"/>
              </w:num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79" w:type="dxa"/>
            <w:textDirection w:val="lrTb"/>
            <w:noWrap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1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Блокнот, Цвет белый, бежевый, формат А5, 40 стр. нанесение логотипа в соответствии с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брендбуком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42" w:type="dxa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1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100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67" w:type="dxa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1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14 000,00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jc w:val="center"/>
          <w:trHeight w:val="2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07" w:type="dxa"/>
            <w:textDirection w:val="lrTb"/>
            <w:noWrap w:val="false"/>
          </w:tcPr>
          <w:p>
            <w:pPr>
              <w:pStyle w:val="725"/>
              <w:numPr>
                <w:ilvl w:val="0"/>
                <w:numId w:val="10"/>
              </w:num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79" w:type="dxa"/>
            <w:textDirection w:val="lrTb"/>
            <w:noWrap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1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Блюдо на ножке 10" 255мм "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Chan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Wave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Classic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", шт.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42" w:type="dxa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1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3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67" w:type="dxa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1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3 351,00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jc w:val="center"/>
          <w:trHeight w:val="2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07" w:type="dxa"/>
            <w:textDirection w:val="lrTb"/>
            <w:noWrap w:val="false"/>
          </w:tcPr>
          <w:p>
            <w:pPr>
              <w:pStyle w:val="725"/>
              <w:numPr>
                <w:ilvl w:val="0"/>
                <w:numId w:val="10"/>
              </w:num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79" w:type="dxa"/>
            <w:textDirection w:val="lrTb"/>
            <w:noWrap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1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Блюдо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овальное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12" 300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мм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"Chan Wave Classic",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шт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.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42" w:type="dxa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1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6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67" w:type="dxa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1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2 940,00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jc w:val="center"/>
          <w:trHeight w:val="2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07" w:type="dxa"/>
            <w:textDirection w:val="lrTb"/>
            <w:noWrap w:val="false"/>
          </w:tcPr>
          <w:p>
            <w:pPr>
              <w:pStyle w:val="725"/>
              <w:numPr>
                <w:ilvl w:val="0"/>
                <w:numId w:val="10"/>
              </w:num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79" w:type="dxa"/>
            <w:textDirection w:val="lrTb"/>
            <w:noWrap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1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Бумага XEROX PERFORMER,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пач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42" w:type="dxa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1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7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67" w:type="dxa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1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1 890,00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jc w:val="center"/>
          <w:trHeight w:val="2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07" w:type="dxa"/>
            <w:textDirection w:val="lrTb"/>
            <w:noWrap w:val="false"/>
          </w:tcPr>
          <w:p>
            <w:pPr>
              <w:pStyle w:val="725"/>
              <w:numPr>
                <w:ilvl w:val="0"/>
                <w:numId w:val="10"/>
              </w:num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79" w:type="dxa"/>
            <w:textDirection w:val="lrTb"/>
            <w:noWrap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1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Вилка столовая "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Oxford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"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Luxstahl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шт.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42" w:type="dxa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1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24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67" w:type="dxa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1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2 296,32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jc w:val="center"/>
          <w:trHeight w:val="2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07" w:type="dxa"/>
            <w:textDirection w:val="lrTb"/>
            <w:noWrap w:val="false"/>
          </w:tcPr>
          <w:p>
            <w:pPr>
              <w:pStyle w:val="725"/>
              <w:numPr>
                <w:ilvl w:val="0"/>
                <w:numId w:val="10"/>
              </w:num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79" w:type="dxa"/>
            <w:textDirection w:val="lrTb"/>
            <w:noWrap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1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Дырокол DOLCE COSTO, шт.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42" w:type="dxa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1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14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67" w:type="dxa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1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2 100,00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jc w:val="center"/>
          <w:trHeight w:val="2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07" w:type="dxa"/>
            <w:textDirection w:val="lrTb"/>
            <w:noWrap w:val="false"/>
          </w:tcPr>
          <w:p>
            <w:pPr>
              <w:pStyle w:val="725"/>
              <w:numPr>
                <w:ilvl w:val="0"/>
                <w:numId w:val="10"/>
              </w:num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79" w:type="dxa"/>
            <w:textDirection w:val="lrTb"/>
            <w:noWrap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1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Значок, Цвет белый, бежевый, 56 мм диаметр, нанесение логотипа в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соответ.с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брендбуком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шт.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42" w:type="dxa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1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50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667" w:type="dxa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1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3 500,00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jc w:val="center"/>
          <w:trHeight w:val="2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07" w:type="dxa"/>
            <w:textDirection w:val="lrTb"/>
            <w:noWrap w:val="false"/>
          </w:tcPr>
          <w:p>
            <w:pPr>
              <w:pStyle w:val="725"/>
              <w:numPr>
                <w:ilvl w:val="0"/>
                <w:numId w:val="10"/>
              </w:num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79" w:type="dxa"/>
            <w:textDirection w:val="lrTb"/>
            <w:noWrap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1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Значок, Цвет белый, бежевый, 56 мм диаметр, нанесение логотипа в соответствии с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брендбуком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42" w:type="dxa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1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50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67" w:type="dxa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1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3 500,00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jc w:val="center"/>
          <w:trHeight w:val="2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07" w:type="dxa"/>
            <w:textDirection w:val="lrTb"/>
            <w:noWrap w:val="false"/>
          </w:tcPr>
          <w:p>
            <w:pPr>
              <w:pStyle w:val="725"/>
              <w:numPr>
                <w:ilvl w:val="0"/>
                <w:numId w:val="10"/>
              </w:num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79" w:type="dxa"/>
            <w:textDirection w:val="lrTb"/>
            <w:noWrap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1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Карандаши цветные 12цветов шестигранные, шт.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42" w:type="dxa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1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2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67" w:type="dxa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1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440,00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jc w:val="center"/>
          <w:trHeight w:val="2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07" w:type="dxa"/>
            <w:textDirection w:val="lrTb"/>
            <w:noWrap w:val="false"/>
          </w:tcPr>
          <w:p>
            <w:pPr>
              <w:pStyle w:val="725"/>
              <w:numPr>
                <w:ilvl w:val="0"/>
                <w:numId w:val="10"/>
              </w:num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79" w:type="dxa"/>
            <w:textDirection w:val="lrTb"/>
            <w:noWrap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1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Карандаши цветные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Kores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DUO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Jumbo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24цвета трехгранные с точилкой, шт.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42" w:type="dxa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1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667" w:type="dxa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1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1 144,00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jc w:val="center"/>
          <w:trHeight w:val="2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07" w:type="dxa"/>
            <w:textDirection w:val="lrTb"/>
            <w:noWrap w:val="false"/>
          </w:tcPr>
          <w:p>
            <w:pPr>
              <w:pStyle w:val="725"/>
              <w:numPr>
                <w:ilvl w:val="0"/>
                <w:numId w:val="10"/>
              </w:num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79" w:type="dxa"/>
            <w:textDirection w:val="lrTb"/>
            <w:noWrap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1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Карандаши цветные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Kores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Kolores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Style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26цветов трехгранные, шт.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42" w:type="dxa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1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67" w:type="dxa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1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1 111,00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jc w:val="center"/>
          <w:trHeight w:val="2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07" w:type="dxa"/>
            <w:textDirection w:val="lrTb"/>
            <w:noWrap w:val="false"/>
          </w:tcPr>
          <w:p>
            <w:pPr>
              <w:pStyle w:val="725"/>
              <w:numPr>
                <w:ilvl w:val="0"/>
                <w:numId w:val="10"/>
              </w:num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79" w:type="dxa"/>
            <w:textDirection w:val="lrTb"/>
            <w:noWrap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1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Ложка чайная "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Oxford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"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Luxstahl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шт.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42" w:type="dxa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1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24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67" w:type="dxa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1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1 722,24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jc w:val="center"/>
          <w:trHeight w:val="2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07" w:type="dxa"/>
            <w:textDirection w:val="lrTb"/>
            <w:noWrap w:val="false"/>
          </w:tcPr>
          <w:p>
            <w:pPr>
              <w:pStyle w:val="725"/>
              <w:numPr>
                <w:ilvl w:val="0"/>
                <w:numId w:val="10"/>
              </w:num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79" w:type="dxa"/>
            <w:textDirection w:val="lrTb"/>
            <w:noWrap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1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Маркер текстовый DOLCE COSTO, шт.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42" w:type="dxa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1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10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67" w:type="dxa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1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130,00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jc w:val="center"/>
          <w:trHeight w:val="2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07" w:type="dxa"/>
            <w:textDirection w:val="lrTb"/>
            <w:noWrap w:val="false"/>
          </w:tcPr>
          <w:p>
            <w:pPr>
              <w:pStyle w:val="725"/>
              <w:numPr>
                <w:ilvl w:val="0"/>
                <w:numId w:val="10"/>
              </w:num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79" w:type="dxa"/>
            <w:textDirection w:val="lrTb"/>
            <w:noWrap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1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Набор канцелярский STAFF "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Минидеск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", шт.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42" w:type="dxa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1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45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67" w:type="dxa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1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13 455,00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jc w:val="center"/>
          <w:trHeight w:val="2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07" w:type="dxa"/>
            <w:textDirection w:val="lrTb"/>
            <w:noWrap w:val="false"/>
          </w:tcPr>
          <w:p>
            <w:pPr>
              <w:pStyle w:val="725"/>
              <w:numPr>
                <w:ilvl w:val="0"/>
                <w:numId w:val="10"/>
              </w:num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79" w:type="dxa"/>
            <w:textDirection w:val="lrTb"/>
            <w:noWrap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1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Набор маркеров для белых досок Kores6цв. (толщина линии 3мм)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круг.наконечник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шт.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42" w:type="dxa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1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2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67" w:type="dxa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1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2 660,00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jc w:val="center"/>
          <w:trHeight w:val="2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07" w:type="dxa"/>
            <w:textDirection w:val="lrTb"/>
            <w:noWrap w:val="false"/>
          </w:tcPr>
          <w:p>
            <w:pPr>
              <w:pStyle w:val="725"/>
              <w:numPr>
                <w:ilvl w:val="0"/>
                <w:numId w:val="10"/>
              </w:num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79" w:type="dxa"/>
            <w:textDirection w:val="lrTb"/>
            <w:noWrap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1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Набор посуды для инвалидов, шт.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42" w:type="dxa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1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2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67" w:type="dxa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1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13 600,00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jc w:val="center"/>
          <w:trHeight w:val="2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07" w:type="dxa"/>
            <w:textDirection w:val="lrTb"/>
            <w:noWrap w:val="false"/>
          </w:tcPr>
          <w:p>
            <w:pPr>
              <w:pStyle w:val="725"/>
              <w:numPr>
                <w:ilvl w:val="0"/>
                <w:numId w:val="10"/>
              </w:num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79" w:type="dxa"/>
            <w:textDirection w:val="lrTb"/>
            <w:noWrap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1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Наст. флажок без флагштока, Флаг 15*22см,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тафетта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60г, цвет белый,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нанес.логотипа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соответ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с бренд, шт.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42" w:type="dxa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1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50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67" w:type="dxa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1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7 450,00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jc w:val="center"/>
          <w:trHeight w:val="2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07" w:type="dxa"/>
            <w:textDirection w:val="lrTb"/>
            <w:noWrap w:val="false"/>
          </w:tcPr>
          <w:p>
            <w:pPr>
              <w:pStyle w:val="725"/>
              <w:numPr>
                <w:ilvl w:val="0"/>
                <w:numId w:val="10"/>
              </w:num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79" w:type="dxa"/>
            <w:textDirection w:val="lrTb"/>
            <w:noWrap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1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Настольный флажок, 15*22см, цвет белый, нанесение логотипа в соответствии с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брендбуком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42" w:type="dxa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1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50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67" w:type="dxa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1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9 750,00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jc w:val="center"/>
          <w:trHeight w:val="2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07" w:type="dxa"/>
            <w:textDirection w:val="lrTb"/>
            <w:noWrap w:val="false"/>
          </w:tcPr>
          <w:p>
            <w:pPr>
              <w:pStyle w:val="725"/>
              <w:numPr>
                <w:ilvl w:val="0"/>
                <w:numId w:val="10"/>
              </w:num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79" w:type="dxa"/>
            <w:textDirection w:val="lrTb"/>
            <w:noWrap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1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Нож столовый "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Oxford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"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Luxstahl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шт.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42" w:type="dxa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1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24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67" w:type="dxa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1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3 544,32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jc w:val="center"/>
          <w:trHeight w:val="2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07" w:type="dxa"/>
            <w:textDirection w:val="lrTb"/>
            <w:noWrap w:val="false"/>
          </w:tcPr>
          <w:p>
            <w:pPr>
              <w:pStyle w:val="725"/>
              <w:numPr>
                <w:ilvl w:val="0"/>
                <w:numId w:val="10"/>
              </w:num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79" w:type="dxa"/>
            <w:textDirection w:val="lrTb"/>
            <w:noWrap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1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Обложка на блокнот, Цвет белый, бежевый, формат А5, нанесение логотипа в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соответ.с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брендбуком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шт.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42" w:type="dxa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1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100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67" w:type="dxa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1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5 000,00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jc w:val="center"/>
          <w:trHeight w:val="2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07" w:type="dxa"/>
            <w:textDirection w:val="lrTb"/>
            <w:noWrap w:val="false"/>
          </w:tcPr>
          <w:p>
            <w:pPr>
              <w:pStyle w:val="725"/>
              <w:numPr>
                <w:ilvl w:val="0"/>
                <w:numId w:val="10"/>
              </w:num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79" w:type="dxa"/>
            <w:textDirection w:val="lrTb"/>
            <w:noWrap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1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Пиктаграммы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на туалет, шт.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42" w:type="dxa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1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6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67" w:type="dxa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1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8 814,66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jc w:val="center"/>
          <w:trHeight w:val="2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07" w:type="dxa"/>
            <w:textDirection w:val="lrTb"/>
            <w:noWrap w:val="false"/>
          </w:tcPr>
          <w:p>
            <w:pPr>
              <w:pStyle w:val="725"/>
              <w:numPr>
                <w:ilvl w:val="0"/>
                <w:numId w:val="10"/>
              </w:num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79" w:type="dxa"/>
            <w:textDirection w:val="lrTb"/>
            <w:noWrap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1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Ручка, Цвет белый, нанесение логотипа в соответствии с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брендбуком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42" w:type="dxa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1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100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67" w:type="dxa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1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4 900,00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jc w:val="center"/>
          <w:trHeight w:val="2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07" w:type="dxa"/>
            <w:textDirection w:val="lrTb"/>
            <w:noWrap w:val="false"/>
          </w:tcPr>
          <w:p>
            <w:pPr>
              <w:pStyle w:val="725"/>
              <w:numPr>
                <w:ilvl w:val="0"/>
                <w:numId w:val="10"/>
              </w:num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79" w:type="dxa"/>
            <w:textDirection w:val="lrTb"/>
            <w:noWrap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1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Салатник 5,5'' 140мм 160 мл "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Sam&amp;Squito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Quadro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", шт.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42" w:type="dxa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1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3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67" w:type="dxa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1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519,00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jc w:val="center"/>
          <w:trHeight w:val="2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07" w:type="dxa"/>
            <w:textDirection w:val="lrTb"/>
            <w:noWrap w:val="false"/>
          </w:tcPr>
          <w:p>
            <w:pPr>
              <w:pStyle w:val="725"/>
              <w:numPr>
                <w:ilvl w:val="0"/>
                <w:numId w:val="10"/>
              </w:num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79" w:type="dxa"/>
            <w:textDirection w:val="lrTb"/>
            <w:noWrap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1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Салатник 7,5'' 190мм 500 мл "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Sam&amp;Squito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Quadro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", шт.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42" w:type="dxa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1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3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67" w:type="dxa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1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1 212,00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jc w:val="center"/>
          <w:trHeight w:val="2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07" w:type="dxa"/>
            <w:textDirection w:val="lrTb"/>
            <w:noWrap w:val="false"/>
          </w:tcPr>
          <w:p>
            <w:pPr>
              <w:pStyle w:val="725"/>
              <w:numPr>
                <w:ilvl w:val="0"/>
                <w:numId w:val="10"/>
              </w:num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79" w:type="dxa"/>
            <w:textDirection w:val="lrTb"/>
            <w:noWrap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1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Салфетка кружевная под торт d=28см 100шт., шт.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42" w:type="dxa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1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3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67" w:type="dxa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1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3 096,00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jc w:val="center"/>
          <w:trHeight w:val="2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07" w:type="dxa"/>
            <w:textDirection w:val="lrTb"/>
            <w:noWrap w:val="false"/>
          </w:tcPr>
          <w:p>
            <w:pPr>
              <w:pStyle w:val="725"/>
              <w:numPr>
                <w:ilvl w:val="0"/>
                <w:numId w:val="10"/>
              </w:num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79" w:type="dxa"/>
            <w:textDirection w:val="lrTb"/>
            <w:noWrap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1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Салфетки бумажные 1сл 24х24см 400л. белые, шт.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42" w:type="dxa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1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4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67" w:type="dxa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1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440,00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jc w:val="center"/>
          <w:trHeight w:val="2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07" w:type="dxa"/>
            <w:textDirection w:val="lrTb"/>
            <w:noWrap w:val="false"/>
          </w:tcPr>
          <w:p>
            <w:pPr>
              <w:pStyle w:val="725"/>
              <w:numPr>
                <w:ilvl w:val="0"/>
                <w:numId w:val="10"/>
              </w:num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79" w:type="dxa"/>
            <w:textDirection w:val="lrTb"/>
            <w:noWrap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1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Салфетница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4,3" 110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мм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"Chan Wave Classic",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шт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.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42" w:type="dxa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1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4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67" w:type="dxa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1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1 456,00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jc w:val="center"/>
          <w:trHeight w:val="2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07" w:type="dxa"/>
            <w:textDirection w:val="lrTb"/>
            <w:noWrap w:val="false"/>
          </w:tcPr>
          <w:p>
            <w:pPr>
              <w:pStyle w:val="725"/>
              <w:numPr>
                <w:ilvl w:val="0"/>
                <w:numId w:val="10"/>
              </w:num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79" w:type="dxa"/>
            <w:textDirection w:val="lrTb"/>
            <w:noWrap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1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Сахарница квадратная 3,75'' 95мм "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Sam&amp;Squito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Quadro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", шт.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42" w:type="dxa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1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4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67" w:type="dxa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1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1 024,00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jc w:val="center"/>
          <w:trHeight w:val="2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07" w:type="dxa"/>
            <w:textDirection w:val="lrTb"/>
            <w:noWrap w:val="false"/>
          </w:tcPr>
          <w:p>
            <w:pPr>
              <w:pStyle w:val="725"/>
              <w:numPr>
                <w:ilvl w:val="0"/>
                <w:numId w:val="10"/>
              </w:num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79" w:type="dxa"/>
            <w:textDirection w:val="lrTb"/>
            <w:noWrap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1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Сетевой фильтр Гарнизон  ЕНВ-10, 6 розеток, 3м, черный,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42" w:type="dxa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1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45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67" w:type="dxa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1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21 375,00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jc w:val="center"/>
          <w:trHeight w:val="2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07" w:type="dxa"/>
            <w:textDirection w:val="lrTb"/>
            <w:noWrap w:val="false"/>
          </w:tcPr>
          <w:p>
            <w:pPr>
              <w:pStyle w:val="725"/>
              <w:numPr>
                <w:ilvl w:val="0"/>
                <w:numId w:val="10"/>
              </w:num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79" w:type="dxa"/>
            <w:textDirection w:val="lrTb"/>
            <w:noWrap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1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Табличка на дверь, Цвет белый, бежевый, нанесение логотипа в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соответ.с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брендбуком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шт.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42" w:type="dxa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1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30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67" w:type="dxa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1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3 600,00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jc w:val="center"/>
          <w:trHeight w:val="2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07" w:type="dxa"/>
            <w:textDirection w:val="lrTb"/>
            <w:noWrap w:val="false"/>
          </w:tcPr>
          <w:p>
            <w:pPr>
              <w:pStyle w:val="725"/>
              <w:numPr>
                <w:ilvl w:val="0"/>
                <w:numId w:val="10"/>
              </w:num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79" w:type="dxa"/>
            <w:textDirection w:val="lrTb"/>
            <w:noWrap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1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Табличка на дверь, Цвет белый, бежевый, нанесение логотипа в соответствии с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брендбуком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42" w:type="dxa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1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30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67" w:type="dxa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1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3 600,00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jc w:val="center"/>
          <w:trHeight w:val="2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07" w:type="dxa"/>
            <w:textDirection w:val="lrTb"/>
            <w:noWrap w:val="false"/>
          </w:tcPr>
          <w:p>
            <w:pPr>
              <w:pStyle w:val="725"/>
              <w:numPr>
                <w:ilvl w:val="0"/>
                <w:numId w:val="10"/>
              </w:num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79" w:type="dxa"/>
            <w:textDirection w:val="lrTb"/>
            <w:noWrap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1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Табличка ПВХ 5 мм 200*100, шт.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42" w:type="dxa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1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67" w:type="dxa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1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445,12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jc w:val="center"/>
          <w:trHeight w:val="2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07" w:type="dxa"/>
            <w:textDirection w:val="lrTb"/>
            <w:noWrap w:val="false"/>
          </w:tcPr>
          <w:p>
            <w:pPr>
              <w:pStyle w:val="725"/>
              <w:numPr>
                <w:ilvl w:val="0"/>
                <w:numId w:val="10"/>
              </w:num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79" w:type="dxa"/>
            <w:textDirection w:val="lrTb"/>
            <w:noWrap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1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Табличка ПВХ 5 мм 300*100, шт.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42" w:type="dxa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1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2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67" w:type="dxa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1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1 112,80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jc w:val="center"/>
          <w:trHeight w:val="2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07" w:type="dxa"/>
            <w:textDirection w:val="lrTb"/>
            <w:noWrap w:val="false"/>
          </w:tcPr>
          <w:p>
            <w:pPr>
              <w:pStyle w:val="725"/>
              <w:numPr>
                <w:ilvl w:val="0"/>
                <w:numId w:val="10"/>
              </w:num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79" w:type="dxa"/>
            <w:textDirection w:val="lrTb"/>
            <w:noWrap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1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Табличка ПВХ 5 мм 300*150, шт.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42" w:type="dxa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1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10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67" w:type="dxa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1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100 415,22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jc w:val="center"/>
          <w:trHeight w:val="2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07" w:type="dxa"/>
            <w:textDirection w:val="lrTb"/>
            <w:noWrap w:val="false"/>
          </w:tcPr>
          <w:p>
            <w:pPr>
              <w:pStyle w:val="725"/>
              <w:numPr>
                <w:ilvl w:val="0"/>
                <w:numId w:val="10"/>
              </w:num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79" w:type="dxa"/>
            <w:textDirection w:val="lrTb"/>
            <w:noWrap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1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Табличка ПВХ 5 мм 455*1350, шт.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42" w:type="dxa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1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67" w:type="dxa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1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5 786,56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jc w:val="center"/>
          <w:trHeight w:val="2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07" w:type="dxa"/>
            <w:textDirection w:val="lrTb"/>
            <w:noWrap w:val="false"/>
          </w:tcPr>
          <w:p>
            <w:pPr>
              <w:pStyle w:val="725"/>
              <w:numPr>
                <w:ilvl w:val="0"/>
                <w:numId w:val="10"/>
              </w:num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79" w:type="dxa"/>
            <w:textDirection w:val="lrTb"/>
            <w:noWrap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1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Табличка ПВХ 5 мм 500*400, шт.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42" w:type="dxa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1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2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67" w:type="dxa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1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4 451,20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jc w:val="center"/>
          <w:trHeight w:val="2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07" w:type="dxa"/>
            <w:textDirection w:val="lrTb"/>
            <w:noWrap w:val="false"/>
          </w:tcPr>
          <w:p>
            <w:pPr>
              <w:pStyle w:val="725"/>
              <w:numPr>
                <w:ilvl w:val="0"/>
                <w:numId w:val="10"/>
              </w:num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79" w:type="dxa"/>
            <w:textDirection w:val="lrTb"/>
            <w:noWrap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1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Тарелка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мелкая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10'' 250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мм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"Chan Wave Classic",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шт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.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42" w:type="dxa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1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6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67" w:type="dxa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1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2 862,00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jc w:val="center"/>
          <w:trHeight w:val="2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07" w:type="dxa"/>
            <w:textDirection w:val="lrTb"/>
            <w:noWrap w:val="false"/>
          </w:tcPr>
          <w:p>
            <w:pPr>
              <w:pStyle w:val="725"/>
              <w:numPr>
                <w:ilvl w:val="0"/>
                <w:numId w:val="10"/>
              </w:num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79" w:type="dxa"/>
            <w:textDirection w:val="lrTb"/>
            <w:noWrap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1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Тарелка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мелкая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7'' 175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мм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"Chan Wave Classic",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шт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.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42" w:type="dxa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1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24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667" w:type="dxa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1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3 648,00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jc w:val="center"/>
          <w:trHeight w:val="2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07" w:type="dxa"/>
            <w:textDirection w:val="lrTb"/>
            <w:noWrap w:val="false"/>
          </w:tcPr>
          <w:p>
            <w:pPr>
              <w:pStyle w:val="725"/>
              <w:numPr>
                <w:ilvl w:val="0"/>
                <w:numId w:val="10"/>
              </w:num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79" w:type="dxa"/>
            <w:textDirection w:val="lrTb"/>
            <w:noWrap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1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Файл-вкладыш BURO, шт.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42" w:type="dxa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1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15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67" w:type="dxa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1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1 590,00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jc w:val="center"/>
          <w:trHeight w:val="2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07" w:type="dxa"/>
            <w:textDirection w:val="lrTb"/>
            <w:noWrap w:val="false"/>
          </w:tcPr>
          <w:p>
            <w:pPr>
              <w:pStyle w:val="725"/>
              <w:numPr>
                <w:ilvl w:val="0"/>
                <w:numId w:val="10"/>
              </w:num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79" w:type="dxa"/>
            <w:textDirection w:val="lrTb"/>
            <w:noWrap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1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Чайная пара 200мл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Шоко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"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Chan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Wave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Classic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", шт.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42" w:type="dxa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1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24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67" w:type="dxa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1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5 712,00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jc w:val="center"/>
          <w:trHeight w:val="2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07" w:type="dxa"/>
            <w:textDirection w:val="lrTb"/>
            <w:noWrap w:val="false"/>
          </w:tcPr>
          <w:p>
            <w:pPr>
              <w:pStyle w:val="725"/>
              <w:numPr>
                <w:ilvl w:val="0"/>
                <w:numId w:val="10"/>
              </w:num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79" w:type="dxa"/>
            <w:textDirection w:val="lrTb"/>
            <w:noWrap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1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Чайник заварочный 500мл "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Chan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Wave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Classic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", шт.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42" w:type="dxa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1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2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67" w:type="dxa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1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930,00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jc w:val="center"/>
          <w:trHeight w:val="2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07" w:type="dxa"/>
            <w:textDirection w:val="lrTb"/>
            <w:noWrap w:val="false"/>
          </w:tcPr>
          <w:p>
            <w:pPr>
              <w:pStyle w:val="725"/>
              <w:numPr>
                <w:ilvl w:val="0"/>
                <w:numId w:val="10"/>
              </w:num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79" w:type="dxa"/>
            <w:textDirection w:val="lrTb"/>
            <w:noWrap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1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Чайник заварочный 600мл с фильтром стеклянный, шт.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42" w:type="dxa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1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2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67" w:type="dxa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1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2 181,92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jc w:val="center"/>
          <w:trHeight w:val="20"/>
        </w:trPr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86" w:type="dxa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1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Итого: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42" w:type="dxa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1"/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1 569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67" w:type="dxa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  <w:outlineLvl w:val="1"/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7 130 455,91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</w:tbl>
    <w:p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 w:clear="all"/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right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Приложение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№ 2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right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 протоколу № 14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right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заседания комитета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right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15 ноября 2023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right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Список приглашенных на заседание комитета по бюджетной, </w:t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финансово-экономической политике и собственности </w:t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Законодательного Собрания Новосибирской области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25"/>
        <w:numPr>
          <w:ilvl w:val="0"/>
          <w:numId w:val="9"/>
        </w:numPr>
        <w:ind w:left="0" w:firstLine="567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Архипов Денис Николаевич – министр жилищно-коммунального хозяйства и энергетики Новосибирской области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25"/>
        <w:numPr>
          <w:ilvl w:val="0"/>
          <w:numId w:val="9"/>
        </w:numPr>
        <w:ind w:left="0" w:firstLine="567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Ахапов</w:t>
      </w:r>
      <w:r>
        <w:rPr>
          <w:rFonts w:ascii="Times New Roman" w:hAnsi="Times New Roman"/>
          <w:sz w:val="28"/>
          <w:szCs w:val="28"/>
        </w:rPr>
        <w:t xml:space="preserve"> Сергей Александрович – мин</w:t>
      </w:r>
      <w:bookmarkStart w:id="2" w:name="_GoBack"/>
      <w:r/>
      <w:bookmarkEnd w:id="2"/>
      <w:r>
        <w:rPr>
          <w:rFonts w:ascii="Times New Roman" w:hAnsi="Times New Roman"/>
          <w:sz w:val="28"/>
          <w:szCs w:val="28"/>
        </w:rPr>
        <w:t xml:space="preserve">истр физической культуры и спорта Новосибирской области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25"/>
        <w:numPr>
          <w:ilvl w:val="0"/>
          <w:numId w:val="9"/>
        </w:numPr>
        <w:ind w:left="0" w:firstLine="567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Бакулина Вера Ивановна – начальник департамента по социально-экономическим вопросам аппарата Законодательного Собрания Новосибирской области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25"/>
        <w:numPr>
          <w:ilvl w:val="0"/>
          <w:numId w:val="9"/>
        </w:numPr>
        <w:ind w:left="0" w:firstLine="567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Бахарева</w:t>
      </w:r>
      <w:r>
        <w:rPr>
          <w:rFonts w:ascii="Times New Roman" w:hAnsi="Times New Roman"/>
          <w:sz w:val="28"/>
          <w:szCs w:val="28"/>
        </w:rPr>
        <w:t xml:space="preserve"> Елена Викторовна – министр труда и социального развития Новосибирской области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25"/>
        <w:numPr>
          <w:ilvl w:val="0"/>
          <w:numId w:val="9"/>
        </w:numPr>
        <w:ind w:left="0" w:firstLine="567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Борисова Евгения Борисовна – заместитель начальника департамента по социально-экономическим вопросам аппарата Законодательного Собрания Новосибирской области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25"/>
        <w:numPr>
          <w:ilvl w:val="0"/>
          <w:numId w:val="9"/>
        </w:numPr>
        <w:ind w:left="0" w:firstLine="567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Буянкина</w:t>
      </w:r>
      <w:r>
        <w:rPr>
          <w:rFonts w:ascii="Times New Roman" w:hAnsi="Times New Roman"/>
          <w:sz w:val="28"/>
          <w:szCs w:val="28"/>
        </w:rPr>
        <w:t xml:space="preserve"> Юлия Алексеевна – заместитель начальника департамента по правовым вопросам аппарата Законодательного Собрания Новосибирской области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25"/>
        <w:numPr>
          <w:ilvl w:val="0"/>
          <w:numId w:val="9"/>
        </w:numPr>
        <w:ind w:left="0" w:firstLine="567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Васильев Вадим Витальевич – министр науки и инновационной политики Новосибирской области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25"/>
        <w:numPr>
          <w:ilvl w:val="0"/>
          <w:numId w:val="9"/>
        </w:numPr>
        <w:ind w:left="0" w:firstLine="567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Варда</w:t>
      </w:r>
      <w:r>
        <w:rPr>
          <w:rFonts w:ascii="Times New Roman" w:hAnsi="Times New Roman"/>
          <w:sz w:val="28"/>
          <w:szCs w:val="28"/>
        </w:rPr>
        <w:t xml:space="preserve"> Татьяна Александровна - начальник департамента по правовым вопросам аппарата Законодательного Собрания Новосибирской области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25"/>
        <w:numPr>
          <w:ilvl w:val="0"/>
          <w:numId w:val="9"/>
        </w:numPr>
        <w:ind w:left="0" w:firstLine="567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Дубровка Анна Васильевна – советник департамента по правовым вопросам аппарата Законодательного Собрания Новосибирской области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25"/>
        <w:numPr>
          <w:ilvl w:val="0"/>
          <w:numId w:val="9"/>
        </w:numPr>
        <w:ind w:left="0" w:firstLine="567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Голубенко Виталий Юрьевич – заместитель Председателя Правительства Новосибирской области – министр финансов и налоговой политики Новосибирской области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25"/>
        <w:numPr>
          <w:ilvl w:val="0"/>
          <w:numId w:val="9"/>
        </w:numPr>
        <w:ind w:left="0" w:firstLine="567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Гончаров Андрей Александрович – министр промышленности, торговли и развития предпринимательства Новосибирской области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25"/>
        <w:numPr>
          <w:ilvl w:val="0"/>
          <w:numId w:val="9"/>
        </w:numPr>
        <w:ind w:left="0" w:firstLine="567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Зимняков</w:t>
      </w:r>
      <w:r>
        <w:rPr>
          <w:rFonts w:ascii="Times New Roman" w:hAnsi="Times New Roman"/>
          <w:sz w:val="28"/>
          <w:szCs w:val="28"/>
        </w:rPr>
        <w:t xml:space="preserve"> Юрий Васильевич – </w:t>
      </w:r>
      <w:r>
        <w:rPr>
          <w:rFonts w:ascii="Times New Roman" w:hAnsi="Times New Roman"/>
          <w:sz w:val="28"/>
          <w:szCs w:val="28"/>
        </w:rPr>
        <w:t xml:space="preserve">и.о</w:t>
      </w:r>
      <w:r>
        <w:rPr>
          <w:rFonts w:ascii="Times New Roman" w:hAnsi="Times New Roman"/>
          <w:sz w:val="28"/>
          <w:szCs w:val="28"/>
        </w:rPr>
        <w:t xml:space="preserve">. министра культуры Новосибирской области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25"/>
        <w:numPr>
          <w:ilvl w:val="0"/>
          <w:numId w:val="9"/>
        </w:numPr>
        <w:ind w:left="0" w:firstLine="567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Знатков</w:t>
      </w:r>
      <w:r>
        <w:rPr>
          <w:rFonts w:ascii="Times New Roman" w:hAnsi="Times New Roman"/>
          <w:sz w:val="28"/>
          <w:szCs w:val="28"/>
        </w:rPr>
        <w:t xml:space="preserve"> Владимир Михайлович – первый заместитель Председателя Правительства Новосибирской области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25"/>
        <w:numPr>
          <w:ilvl w:val="0"/>
          <w:numId w:val="9"/>
        </w:numPr>
        <w:ind w:left="0" w:firstLine="567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Зерняева</w:t>
      </w:r>
      <w:r>
        <w:rPr>
          <w:rFonts w:ascii="Times New Roman" w:hAnsi="Times New Roman"/>
          <w:sz w:val="28"/>
          <w:szCs w:val="28"/>
        </w:rPr>
        <w:t xml:space="preserve"> Елена Александровна – заместитель начальника управления по надзору за исполнением федерального законодательства прокуратуры Новосибирской области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25"/>
        <w:numPr>
          <w:ilvl w:val="0"/>
          <w:numId w:val="9"/>
        </w:numPr>
        <w:ind w:left="0" w:firstLine="567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Калентьева</w:t>
      </w:r>
      <w:r>
        <w:rPr>
          <w:rFonts w:ascii="Times New Roman" w:hAnsi="Times New Roman"/>
          <w:sz w:val="28"/>
          <w:szCs w:val="28"/>
        </w:rPr>
        <w:t xml:space="preserve"> Наталья Владимировна – заместитель начальника управления – начальник отдела законопроектных работ и ведения регистра министерства юстиции Новосибирской области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25"/>
        <w:numPr>
          <w:ilvl w:val="0"/>
          <w:numId w:val="9"/>
        </w:numPr>
        <w:ind w:left="0" w:firstLine="567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Карпов Владимир Яковлевич – заместитель Председателя Законодательного Собрания Новосибирской области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25"/>
        <w:numPr>
          <w:ilvl w:val="0"/>
          <w:numId w:val="9"/>
        </w:numPr>
        <w:ind w:left="0" w:firstLine="567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Климов Геннадий Николаевич – </w:t>
      </w:r>
      <w:r>
        <w:rPr>
          <w:rFonts w:ascii="Times New Roman" w:hAnsi="Times New Roman"/>
          <w:sz w:val="28"/>
          <w:szCs w:val="28"/>
        </w:rPr>
        <w:t xml:space="preserve">и.о</w:t>
      </w:r>
      <w:r>
        <w:rPr>
          <w:rFonts w:ascii="Times New Roman" w:hAnsi="Times New Roman"/>
          <w:sz w:val="28"/>
          <w:szCs w:val="28"/>
        </w:rPr>
        <w:t xml:space="preserve">. начальника отдела налогообложения доходов </w:t>
      </w:r>
      <w:r>
        <w:rPr>
          <w:rFonts w:ascii="Times New Roman" w:hAnsi="Times New Roman"/>
          <w:sz w:val="28"/>
          <w:szCs w:val="28"/>
        </w:rPr>
        <w:t xml:space="preserve">физ</w:t>
      </w:r>
      <w:r>
        <w:rPr>
          <w:rFonts w:ascii="Times New Roman" w:hAnsi="Times New Roman"/>
          <w:sz w:val="28"/>
          <w:szCs w:val="28"/>
        </w:rPr>
        <w:t xml:space="preserve"> лиц и администрирования страховых взносов Управления Федеральной налоговой службы по Новосибирской области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25"/>
        <w:numPr>
          <w:ilvl w:val="0"/>
          <w:numId w:val="9"/>
        </w:numPr>
        <w:ind w:left="0" w:firstLine="567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Колмаков Алексей Викторович – министр строительства Новосибирской области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25"/>
        <w:numPr>
          <w:ilvl w:val="0"/>
          <w:numId w:val="9"/>
        </w:numPr>
        <w:ind w:left="0" w:firstLine="567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Лещенко Евгений Михайлович – заместитель Председателя Правительства Новосибирской области – министр сельского хозяйства Новосибирской области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25"/>
        <w:numPr>
          <w:ilvl w:val="0"/>
          <w:numId w:val="9"/>
        </w:numPr>
        <w:ind w:left="0" w:firstLine="567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Мамулат</w:t>
      </w:r>
      <w:r>
        <w:rPr>
          <w:rFonts w:ascii="Times New Roman" w:hAnsi="Times New Roman"/>
          <w:sz w:val="28"/>
          <w:szCs w:val="28"/>
        </w:rPr>
        <w:t xml:space="preserve"> Николай Егорович – уполномоченный по защите прав предпринимателей в Новосибирской области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25"/>
        <w:numPr>
          <w:ilvl w:val="0"/>
          <w:numId w:val="9"/>
        </w:numPr>
        <w:ind w:left="0" w:firstLine="567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Миллер Игорь Владимирович – </w:t>
      </w:r>
      <w:r>
        <w:rPr>
          <w:rFonts w:ascii="Times New Roman" w:hAnsi="Times New Roman"/>
          <w:sz w:val="28"/>
          <w:szCs w:val="28"/>
        </w:rPr>
        <w:t xml:space="preserve">и.о</w:t>
      </w:r>
      <w:r>
        <w:rPr>
          <w:rFonts w:ascii="Times New Roman" w:hAnsi="Times New Roman"/>
          <w:sz w:val="28"/>
          <w:szCs w:val="28"/>
        </w:rPr>
        <w:t xml:space="preserve">. министра транспорта и дорожного хозяйства Новосибирской области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25"/>
        <w:numPr>
          <w:ilvl w:val="0"/>
          <w:numId w:val="9"/>
        </w:numPr>
        <w:ind w:left="0" w:firstLine="567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Нелюбов Сергей Александрович - заместитель Губернатора Новосибирской области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25"/>
        <w:numPr>
          <w:ilvl w:val="0"/>
          <w:numId w:val="9"/>
        </w:numPr>
        <w:ind w:left="0" w:firstLine="567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Подковырин</w:t>
      </w:r>
      <w:r>
        <w:rPr>
          <w:rFonts w:ascii="Times New Roman" w:hAnsi="Times New Roman"/>
          <w:sz w:val="28"/>
          <w:szCs w:val="28"/>
        </w:rPr>
        <w:t xml:space="preserve"> Павел Викторович – </w:t>
      </w:r>
      <w:r>
        <w:rPr>
          <w:rFonts w:ascii="Times New Roman" w:hAnsi="Times New Roman"/>
          <w:sz w:val="28"/>
          <w:szCs w:val="28"/>
        </w:rPr>
        <w:t xml:space="preserve">и.о</w:t>
      </w:r>
      <w:r>
        <w:rPr>
          <w:rFonts w:ascii="Times New Roman" w:hAnsi="Times New Roman"/>
          <w:sz w:val="28"/>
          <w:szCs w:val="28"/>
        </w:rPr>
        <w:t xml:space="preserve">. председателя Контрольно-счетной палаты Новосибирской области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25"/>
        <w:numPr>
          <w:ilvl w:val="0"/>
          <w:numId w:val="9"/>
        </w:numPr>
        <w:ind w:left="0" w:firstLine="567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Решетников Лев Николаевич – министр экономического развития Новосибирской области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25"/>
        <w:numPr>
          <w:ilvl w:val="0"/>
          <w:numId w:val="9"/>
        </w:numPr>
        <w:ind w:left="0" w:firstLine="567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Савостьянов Юрий Иванович – заместитель министра образования Новосибирской области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25"/>
        <w:numPr>
          <w:ilvl w:val="0"/>
          <w:numId w:val="9"/>
        </w:numPr>
        <w:ind w:left="0" w:firstLine="567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Хальзов</w:t>
      </w:r>
      <w:r>
        <w:rPr>
          <w:rFonts w:ascii="Times New Roman" w:hAnsi="Times New Roman"/>
          <w:sz w:val="28"/>
          <w:szCs w:val="28"/>
        </w:rPr>
        <w:t xml:space="preserve"> Константин Васильевич – министр здравоохранения Новосибирской области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25"/>
        <w:numPr>
          <w:ilvl w:val="0"/>
          <w:numId w:val="9"/>
        </w:numPr>
        <w:ind w:left="0" w:firstLine="567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Цукарь</w:t>
      </w:r>
      <w:r>
        <w:rPr>
          <w:rFonts w:ascii="Times New Roman" w:hAnsi="Times New Roman"/>
          <w:sz w:val="28"/>
          <w:szCs w:val="28"/>
        </w:rPr>
        <w:t xml:space="preserve"> Сергей Сергеевич – министр цифрового развития и связи Новосибирской области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25"/>
        <w:numPr>
          <w:ilvl w:val="0"/>
          <w:numId w:val="9"/>
        </w:numPr>
        <w:ind w:left="0" w:firstLine="567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Шарпф</w:t>
      </w:r>
      <w:r>
        <w:rPr>
          <w:rFonts w:ascii="Times New Roman" w:hAnsi="Times New Roman"/>
          <w:sz w:val="28"/>
          <w:szCs w:val="28"/>
        </w:rPr>
        <w:t xml:space="preserve"> Светлана Леонидовна – начальник Контрольного управления Новосибирской области 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25"/>
        <w:numPr>
          <w:ilvl w:val="0"/>
          <w:numId w:val="9"/>
        </w:numPr>
        <w:ind w:left="0" w:firstLine="567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Шестернин Евгений Анатольевич – министр природных ресурсов и экологии Новосибирской области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25"/>
        <w:numPr>
          <w:ilvl w:val="0"/>
          <w:numId w:val="9"/>
        </w:numPr>
        <w:ind w:left="0" w:firstLine="567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Шилохвостов</w:t>
      </w:r>
      <w:r>
        <w:rPr>
          <w:rFonts w:ascii="Times New Roman" w:hAnsi="Times New Roman"/>
          <w:sz w:val="28"/>
          <w:szCs w:val="28"/>
        </w:rPr>
        <w:t xml:space="preserve"> Роман Геннадьевич – руководитель департамента имущества и земельных отношений Новосибирской области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25"/>
        <w:numPr>
          <w:ilvl w:val="0"/>
          <w:numId w:val="9"/>
        </w:numPr>
        <w:ind w:left="0" w:firstLine="567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Шимкив</w:t>
      </w:r>
      <w:r>
        <w:rPr>
          <w:rFonts w:ascii="Times New Roman" w:hAnsi="Times New Roman"/>
          <w:sz w:val="28"/>
          <w:szCs w:val="28"/>
        </w:rPr>
        <w:t xml:space="preserve"> Андрей Иванович – Председатель Законодательного Собрания Новосибирской области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</w:r>
      <w:r>
        <w:rPr>
          <w:rFonts w:ascii="Times New Roman" w:hAnsi="Times New Roman"/>
          <w:sz w:val="30"/>
          <w:szCs w:val="30"/>
        </w:rPr>
      </w:r>
      <w:r>
        <w:rPr>
          <w:rFonts w:ascii="Times New Roman" w:hAnsi="Times New Roman"/>
          <w:sz w:val="30"/>
          <w:szCs w:val="30"/>
        </w:rPr>
      </w:r>
    </w:p>
    <w:sectPr>
      <w:footerReference w:type="default" r:id="rId9"/>
      <w:footnotePr/>
      <w:endnotePr/>
      <w:type w:val="nextPage"/>
      <w:pgSz w:w="11906" w:h="16838" w:orient="portrait"/>
      <w:pgMar w:top="709" w:right="991" w:bottom="1418" w:left="1134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10000000000000000"/>
  </w:font>
  <w:font w:name="Courier New">
    <w:panose1 w:val="02070309020205020404"/>
  </w:font>
  <w:font w:name="Tahoma">
    <w:panose1 w:val="020B0604030504040204"/>
  </w:font>
  <w:font w:name="Verdana">
    <w:panose1 w:val="020B0604030504040204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7"/>
      <w:jc w:val="right"/>
    </w:pPr>
    <w:fldSimple w:instr="PAGE \* MERGEFORMAT">
      <w:r>
        <w:rPr>
          <w:sz w:val="22"/>
          <w:szCs w:val="22"/>
        </w:rPr>
        <w:t xml:space="preserve">1</w:t>
      </w:r>
    </w:fldSimple>
    <w:r>
      <w:rPr>
        <w:sz w:val="22"/>
        <w:szCs w:val="22"/>
      </w:rPr>
    </w:r>
    <w:r>
      <w:rPr>
        <w:sz w:val="22"/>
        <w:szCs w:val="22"/>
      </w:rPr>
    </w:r>
    <w:r/>
  </w:p>
  <w:p>
    <w:pPr>
      <w:pStyle w:val="737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2061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781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3501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4221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941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661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6381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7101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821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95" w:hanging="360"/>
      </w:pPr>
      <w:rPr>
        <w:b/>
        <w:i w:val="0"/>
        <w:sz w:val="28"/>
        <w:szCs w:val="28"/>
      </w:rPr>
    </w:lvl>
    <w:lvl w:ilvl="1">
      <w:start w:val="1"/>
      <w:numFmt w:val="lowerLetter"/>
      <w:isLgl w:val="false"/>
      <w:suff w:val="tab"/>
      <w:lvlText w:val="%2."/>
      <w:lvlJc w:val="left"/>
      <w:pPr>
        <w:ind w:left="1353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87" w:hanging="420"/>
      </w:pPr>
    </w:lvl>
    <w:lvl w:ilvl="1">
      <w:start w:val="1"/>
      <w:numFmt w:val="lowerLetter"/>
      <w:isLgl w:val="false"/>
      <w:suff w:val="tab"/>
      <w:lvlText w:val="%2."/>
      <w:lvlJc w:val="left"/>
      <w:pPr>
        <w:ind w:left="164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6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8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0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2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4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6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87" w:hanging="18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"/>
      <w:lvlJc w:val="center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)"/>
      <w:lvlJc w:val="left"/>
      <w:pPr/>
      <w:rPr>
        <w:b w:val="0"/>
        <w:bCs w:val="0"/>
        <w:i w:val="0"/>
        <w:iCs w:val="0"/>
        <w:smallCaps w:val="0"/>
        <w:strike w:val="0"/>
        <w:color w:val="000000"/>
        <w:spacing w:val="4"/>
        <w:position w:val="0"/>
        <w:sz w:val="28"/>
        <w:szCs w:val="28"/>
        <w:u w:val="none"/>
        <w:lang w:val="ru"/>
      </w:rPr>
    </w:lvl>
    <w:lvl w:ilvl="1">
      <w:start w:val="1"/>
      <w:numFmt w:val="decimal"/>
      <w:isLgl w:val="false"/>
      <w:suff w:val="tab"/>
      <w:lvlText w:val="%2."/>
      <w:lvlJc w:val="left"/>
      <w:pPr/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position w:val="0"/>
        <w:sz w:val="24"/>
        <w:szCs w:val="24"/>
        <w:u w:val="none"/>
        <w:lang w:val="ru"/>
      </w:rPr>
    </w:lvl>
    <w:lvl w:ilvl="2">
      <w:start w:val="1"/>
      <w:numFmt w:val="decimal"/>
      <w:isLgl w:val="false"/>
      <w:suff w:val="tab"/>
      <w:lvlText w:val=""/>
      <w:lvlJc w:val="left"/>
      <w:pPr/>
    </w:lvl>
    <w:lvl w:ilvl="3">
      <w:start w:val="1"/>
      <w:numFmt w:val="decimal"/>
      <w:isLgl w:val="false"/>
      <w:suff w:val="tab"/>
      <w:lvlText w:val=""/>
      <w:lvlJc w:val="left"/>
      <w:pPr/>
    </w:lvl>
    <w:lvl w:ilvl="4">
      <w:start w:val="1"/>
      <w:numFmt w:val="decimal"/>
      <w:isLgl w:val="false"/>
      <w:suff w:val="tab"/>
      <w:lvlText w:val=""/>
      <w:lvlJc w:val="left"/>
      <w:pPr/>
    </w:lvl>
    <w:lvl w:ilvl="5">
      <w:start w:val="1"/>
      <w:numFmt w:val="decimal"/>
      <w:isLgl w:val="false"/>
      <w:suff w:val="tab"/>
      <w:lvlText w:val=""/>
      <w:lvlJc w:val="left"/>
      <w:pPr/>
    </w:lvl>
    <w:lvl w:ilvl="6">
      <w:start w:val="1"/>
      <w:numFmt w:val="decimal"/>
      <w:isLgl w:val="false"/>
      <w:suff w:val="tab"/>
      <w:lvlText w:val=""/>
      <w:lvlJc w:val="left"/>
      <w:pPr/>
    </w:lvl>
    <w:lvl w:ilvl="7">
      <w:start w:val="1"/>
      <w:numFmt w:val="decimal"/>
      <w:isLgl w:val="false"/>
      <w:suff w:val="tab"/>
      <w:lvlText w:val=""/>
      <w:lvlJc w:val="left"/>
      <w:pPr/>
    </w:lvl>
    <w:lvl w:ilvl="8">
      <w:start w:val="1"/>
      <w:numFmt w:val="decimal"/>
      <w:isLgl w:val="false"/>
      <w:suff w:val="tab"/>
      <w:lvlText w:val=""/>
      <w:lvlJc w:val="left"/>
      <w:pPr/>
    </w:lvl>
  </w:abstractNum>
  <w:abstractNum w:abstractNumId="6">
    <w:multiLevelType w:val="hybridMultilevel"/>
    <w:lvl w:ilvl="0">
      <w:start w:val="1"/>
      <w:numFmt w:val="bullet"/>
      <w:isLgl w:val="false"/>
      <w:suff w:val="tab"/>
      <w:lvlText w:val="-"/>
      <w:lvlJc w:val="left"/>
      <w:pPr/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position w:val="0"/>
        <w:sz w:val="24"/>
        <w:szCs w:val="24"/>
        <w:u w:val="none"/>
        <w:lang w:val="ru"/>
      </w:rPr>
    </w:lvl>
    <w:lvl w:ilvl="1">
      <w:start w:val="1"/>
      <w:numFmt w:val="bullet"/>
      <w:isLgl w:val="false"/>
      <w:suff w:val="tab"/>
      <w:lvlText w:val=""/>
      <w:lvlJc w:val="left"/>
      <w:pPr/>
      <w:rPr>
        <w:rFonts w:ascii="Symbol" w:hAnsi="Symbol"/>
        <w:b w:val="0"/>
        <w:bCs w:val="0"/>
        <w:i w:val="0"/>
        <w:iCs w:val="0"/>
        <w:smallCaps w:val="0"/>
        <w:strike w:val="0"/>
        <w:color w:val="000000"/>
        <w:spacing w:val="2"/>
        <w:position w:val="0"/>
        <w:sz w:val="24"/>
        <w:szCs w:val="24"/>
        <w:u w:val="none"/>
        <w:lang w:val="ru"/>
      </w:rPr>
    </w:lvl>
    <w:lvl w:ilvl="2">
      <w:start w:val="1"/>
      <w:numFmt w:val="decimal"/>
      <w:isLgl w:val="false"/>
      <w:suff w:val="tab"/>
      <w:lvlText w:val="%3."/>
      <w:lvlJc w:val="left"/>
      <w:pPr/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position w:val="0"/>
        <w:sz w:val="24"/>
        <w:szCs w:val="24"/>
        <w:u w:val="none"/>
        <w:lang w:val="ru"/>
      </w:rPr>
    </w:lvl>
    <w:lvl w:ilvl="3">
      <w:start w:val="1"/>
      <w:numFmt w:val="decimal"/>
      <w:isLgl w:val="false"/>
      <w:suff w:val="tab"/>
      <w:lvlText w:val=""/>
      <w:lvlJc w:val="left"/>
      <w:pPr/>
    </w:lvl>
    <w:lvl w:ilvl="4">
      <w:start w:val="1"/>
      <w:numFmt w:val="decimal"/>
      <w:isLgl w:val="false"/>
      <w:suff w:val="tab"/>
      <w:lvlText w:val=""/>
      <w:lvlJc w:val="left"/>
      <w:pPr/>
    </w:lvl>
    <w:lvl w:ilvl="5">
      <w:start w:val="1"/>
      <w:numFmt w:val="decimal"/>
      <w:isLgl w:val="false"/>
      <w:suff w:val="tab"/>
      <w:lvlText w:val=""/>
      <w:lvlJc w:val="left"/>
      <w:pPr/>
    </w:lvl>
    <w:lvl w:ilvl="6">
      <w:start w:val="1"/>
      <w:numFmt w:val="decimal"/>
      <w:isLgl w:val="false"/>
      <w:suff w:val="tab"/>
      <w:lvlText w:val=""/>
      <w:lvlJc w:val="left"/>
      <w:pPr/>
    </w:lvl>
    <w:lvl w:ilvl="7">
      <w:start w:val="1"/>
      <w:numFmt w:val="decimal"/>
      <w:isLgl w:val="false"/>
      <w:suff w:val="tab"/>
      <w:lvlText w:val=""/>
      <w:lvlJc w:val="left"/>
      <w:pPr/>
    </w:lvl>
    <w:lvl w:ilvl="8">
      <w:start w:val="1"/>
      <w:numFmt w:val="decimal"/>
      <w:isLgl w:val="false"/>
      <w:suff w:val="tab"/>
      <w:lvlText w:val=""/>
      <w:lvlJc w:val="left"/>
      <w:pPr/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27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996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716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436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156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76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596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316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036" w:hanging="180"/>
      </w:p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28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00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72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44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16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8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60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32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047" w:hanging="180"/>
      </w:pPr>
    </w:lvl>
  </w:abstractNum>
  <w:abstractNum w:abstractNumId="9">
    <w:multiLevelType w:val="hybridMultilevel"/>
    <w:lvl w:ilvl="0">
      <w:start w:val="1"/>
      <w:numFmt w:val="bullet"/>
      <w:isLgl w:val="false"/>
      <w:suff w:val="tab"/>
      <w:lvlText w:val="-"/>
      <w:lvlJc w:val="left"/>
      <w:pPr/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position w:val="0"/>
        <w:sz w:val="24"/>
        <w:szCs w:val="24"/>
        <w:u w:val="none"/>
        <w:lang w:val="ru"/>
      </w:rPr>
    </w:lvl>
    <w:lvl w:ilvl="1">
      <w:start w:val="1"/>
      <w:numFmt w:val="bullet"/>
      <w:isLgl w:val="false"/>
      <w:suff w:val="tab"/>
      <w:lvlText w:val=""/>
      <w:lvlJc w:val="left"/>
      <w:pPr/>
      <w:rPr>
        <w:rFonts w:ascii="Symbol" w:hAnsi="Symbol"/>
        <w:b w:val="0"/>
        <w:bCs w:val="0"/>
        <w:i w:val="0"/>
        <w:iCs w:val="0"/>
        <w:smallCaps w:val="0"/>
        <w:strike w:val="0"/>
        <w:color w:val="000000"/>
        <w:spacing w:val="2"/>
        <w:position w:val="0"/>
        <w:sz w:val="24"/>
        <w:szCs w:val="24"/>
        <w:u w:val="none"/>
        <w:lang w:val="ru"/>
      </w:rPr>
    </w:lvl>
    <w:lvl w:ilvl="2">
      <w:start w:val="1"/>
      <w:numFmt w:val="decimal"/>
      <w:isLgl w:val="false"/>
      <w:suff w:val="tab"/>
      <w:lvlText w:val="%3."/>
      <w:lvlJc w:val="left"/>
      <w:pPr/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position w:val="0"/>
        <w:sz w:val="24"/>
        <w:szCs w:val="24"/>
        <w:u w:val="none"/>
        <w:lang w:val="ru"/>
      </w:rPr>
    </w:lvl>
    <w:lvl w:ilvl="3">
      <w:start w:val="1"/>
      <w:numFmt w:val="decimal"/>
      <w:isLgl w:val="false"/>
      <w:suff w:val="tab"/>
      <w:lvlText w:val=""/>
      <w:lvlJc w:val="left"/>
      <w:pPr/>
    </w:lvl>
    <w:lvl w:ilvl="4">
      <w:start w:val="1"/>
      <w:numFmt w:val="decimal"/>
      <w:isLgl w:val="false"/>
      <w:suff w:val="tab"/>
      <w:lvlText w:val=""/>
      <w:lvlJc w:val="left"/>
      <w:pPr/>
    </w:lvl>
    <w:lvl w:ilvl="5">
      <w:start w:val="1"/>
      <w:numFmt w:val="decimal"/>
      <w:isLgl w:val="false"/>
      <w:suff w:val="tab"/>
      <w:lvlText w:val=""/>
      <w:lvlJc w:val="left"/>
      <w:pPr/>
    </w:lvl>
    <w:lvl w:ilvl="6">
      <w:start w:val="1"/>
      <w:numFmt w:val="decimal"/>
      <w:isLgl w:val="false"/>
      <w:suff w:val="tab"/>
      <w:lvlText w:val=""/>
      <w:lvlJc w:val="left"/>
      <w:pPr/>
    </w:lvl>
    <w:lvl w:ilvl="7">
      <w:start w:val="1"/>
      <w:numFmt w:val="decimal"/>
      <w:isLgl w:val="false"/>
      <w:suff w:val="tab"/>
      <w:lvlText w:val=""/>
      <w:lvlJc w:val="left"/>
      <w:pPr/>
    </w:lvl>
    <w:lvl w:ilvl="8">
      <w:start w:val="1"/>
      <w:numFmt w:val="decimal"/>
      <w:isLgl w:val="false"/>
      <w:suff w:val="tab"/>
      <w:lvlText w:val=""/>
      <w:lvlJc w:val="left"/>
      <w:pPr/>
    </w:lvl>
  </w:abstractNum>
  <w:num w:numId="1">
    <w:abstractNumId w:val="2"/>
  </w:num>
  <w:num w:numId="2">
    <w:abstractNumId w:val="8"/>
  </w:num>
  <w:num w:numId="3">
    <w:abstractNumId w:val="3"/>
  </w:num>
  <w:num w:numId="4">
    <w:abstractNumId w:val="5"/>
  </w:num>
  <w:num w:numId="5">
    <w:abstractNumId w:val="9"/>
  </w:num>
  <w:num w:numId="6">
    <w:abstractNumId w:val="6"/>
  </w:num>
  <w:num w:numId="7">
    <w:abstractNumId w:val="1"/>
  </w:num>
  <w:num w:numId="8">
    <w:abstractNumId w:val="7"/>
  </w:num>
  <w:num w:numId="9">
    <w:abstractNumId w:val="0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Times New Roman" w:cs="Times New Roman"/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91" w:default="1">
    <w:name w:val="Normal"/>
    <w:qFormat/>
    <w:pPr>
      <w:spacing w:after="200" w:line="276" w:lineRule="auto"/>
    </w:pPr>
    <w:rPr>
      <w:sz w:val="22"/>
      <w:szCs w:val="22"/>
      <w:lang w:eastAsia="ru-RU"/>
    </w:rPr>
  </w:style>
  <w:style w:type="paragraph" w:styleId="692">
    <w:name w:val="Heading 1"/>
    <w:basedOn w:val="691"/>
    <w:next w:val="691"/>
    <w:link w:val="885"/>
    <w:qFormat/>
    <w:pPr>
      <w:ind w:firstLine="624"/>
      <w:jc w:val="center"/>
      <w:keepNext/>
      <w:spacing w:after="0" w:line="240" w:lineRule="auto"/>
      <w:outlineLvl w:val="0"/>
    </w:pPr>
    <w:rPr>
      <w:rFonts w:ascii="Times New Roman" w:hAnsi="Times New Roman"/>
      <w:b/>
      <w:sz w:val="28"/>
      <w:szCs w:val="20"/>
    </w:rPr>
  </w:style>
  <w:style w:type="paragraph" w:styleId="693">
    <w:name w:val="Heading 2"/>
    <w:basedOn w:val="691"/>
    <w:next w:val="691"/>
    <w:link w:val="717"/>
    <w:uiPriority w:val="9"/>
    <w:unhideWhenUsed/>
    <w:qFormat/>
    <w:pPr>
      <w:keepLines/>
      <w:keepNext/>
      <w:spacing w:before="360"/>
      <w:outlineLvl w:val="1"/>
    </w:pPr>
    <w:rPr>
      <w:rFonts w:ascii="Arial" w:hAnsi="Arial" w:eastAsia="Arial" w:cs="Arial"/>
      <w:sz w:val="34"/>
    </w:rPr>
  </w:style>
  <w:style w:type="paragraph" w:styleId="694">
    <w:name w:val="Heading 3"/>
    <w:basedOn w:val="691"/>
    <w:next w:val="691"/>
    <w:link w:val="718"/>
    <w:uiPriority w:val="9"/>
    <w:unhideWhenUsed/>
    <w:qFormat/>
    <w:pPr>
      <w:keepLines/>
      <w:keepNext/>
      <w:spacing w:before="320"/>
      <w:outlineLvl w:val="2"/>
    </w:pPr>
    <w:rPr>
      <w:rFonts w:ascii="Arial" w:hAnsi="Arial" w:eastAsia="Arial" w:cs="Arial"/>
      <w:sz w:val="30"/>
      <w:szCs w:val="30"/>
    </w:rPr>
  </w:style>
  <w:style w:type="paragraph" w:styleId="695">
    <w:name w:val="Heading 4"/>
    <w:basedOn w:val="691"/>
    <w:next w:val="691"/>
    <w:link w:val="719"/>
    <w:uiPriority w:val="9"/>
    <w:unhideWhenUsed/>
    <w:qFormat/>
    <w:pPr>
      <w:keepLines/>
      <w:keepNext/>
      <w:spacing w:before="32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696">
    <w:name w:val="Heading 5"/>
    <w:basedOn w:val="691"/>
    <w:next w:val="691"/>
    <w:link w:val="720"/>
    <w:uiPriority w:val="9"/>
    <w:unhideWhenUsed/>
    <w:qFormat/>
    <w:pPr>
      <w:keepLines/>
      <w:keepNext/>
      <w:spacing w:before="32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697">
    <w:name w:val="Heading 6"/>
    <w:basedOn w:val="691"/>
    <w:next w:val="691"/>
    <w:link w:val="721"/>
    <w:uiPriority w:val="9"/>
    <w:unhideWhenUsed/>
    <w:qFormat/>
    <w:pPr>
      <w:keepLines/>
      <w:keepNext/>
      <w:spacing w:before="320"/>
      <w:outlineLvl w:val="5"/>
    </w:pPr>
    <w:rPr>
      <w:rFonts w:ascii="Arial" w:hAnsi="Arial" w:eastAsia="Arial" w:cs="Arial"/>
      <w:b/>
      <w:bCs/>
    </w:rPr>
  </w:style>
  <w:style w:type="paragraph" w:styleId="698">
    <w:name w:val="Heading 7"/>
    <w:basedOn w:val="691"/>
    <w:next w:val="691"/>
    <w:link w:val="722"/>
    <w:uiPriority w:val="9"/>
    <w:unhideWhenUsed/>
    <w:qFormat/>
    <w:pPr>
      <w:keepLines/>
      <w:keepNext/>
      <w:spacing w:before="320"/>
      <w:outlineLvl w:val="6"/>
    </w:pPr>
    <w:rPr>
      <w:rFonts w:ascii="Arial" w:hAnsi="Arial" w:eastAsia="Arial" w:cs="Arial"/>
      <w:b/>
      <w:bCs/>
      <w:i/>
      <w:iCs/>
    </w:rPr>
  </w:style>
  <w:style w:type="paragraph" w:styleId="699">
    <w:name w:val="Heading 8"/>
    <w:basedOn w:val="691"/>
    <w:next w:val="691"/>
    <w:link w:val="723"/>
    <w:uiPriority w:val="9"/>
    <w:unhideWhenUsed/>
    <w:qFormat/>
    <w:pPr>
      <w:keepLines/>
      <w:keepNext/>
      <w:spacing w:before="320"/>
      <w:outlineLvl w:val="7"/>
    </w:pPr>
    <w:rPr>
      <w:rFonts w:ascii="Arial" w:hAnsi="Arial" w:eastAsia="Arial" w:cs="Arial"/>
      <w:i/>
      <w:iCs/>
    </w:rPr>
  </w:style>
  <w:style w:type="paragraph" w:styleId="700">
    <w:name w:val="Heading 9"/>
    <w:basedOn w:val="691"/>
    <w:next w:val="691"/>
    <w:link w:val="724"/>
    <w:uiPriority w:val="9"/>
    <w:unhideWhenUsed/>
    <w:qFormat/>
    <w:pPr>
      <w:keepLines/>
      <w:keepNext/>
      <w:spacing w:before="32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01" w:default="1">
    <w:name w:val="Default Paragraph Font"/>
    <w:uiPriority w:val="1"/>
    <w:semiHidden/>
    <w:unhideWhenUsed/>
  </w:style>
  <w:style w:type="table" w:styleId="702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03" w:default="1">
    <w:name w:val="No List"/>
    <w:uiPriority w:val="99"/>
    <w:semiHidden/>
    <w:unhideWhenUsed/>
  </w:style>
  <w:style w:type="character" w:styleId="704" w:customStyle="1">
    <w:name w:val="Heading 2 Char"/>
    <w:basedOn w:val="701"/>
    <w:uiPriority w:val="9"/>
    <w:rPr>
      <w:rFonts w:ascii="Arial" w:hAnsi="Arial" w:eastAsia="Arial" w:cs="Arial"/>
      <w:sz w:val="34"/>
    </w:rPr>
  </w:style>
  <w:style w:type="character" w:styleId="705" w:customStyle="1">
    <w:name w:val="Heading 3 Char"/>
    <w:basedOn w:val="701"/>
    <w:uiPriority w:val="9"/>
    <w:rPr>
      <w:rFonts w:ascii="Arial" w:hAnsi="Arial" w:eastAsia="Arial" w:cs="Arial"/>
      <w:sz w:val="30"/>
      <w:szCs w:val="30"/>
    </w:rPr>
  </w:style>
  <w:style w:type="character" w:styleId="706" w:customStyle="1">
    <w:name w:val="Heading 4 Char"/>
    <w:basedOn w:val="701"/>
    <w:uiPriority w:val="9"/>
    <w:rPr>
      <w:rFonts w:ascii="Arial" w:hAnsi="Arial" w:eastAsia="Arial" w:cs="Arial"/>
      <w:b/>
      <w:bCs/>
      <w:sz w:val="26"/>
      <w:szCs w:val="26"/>
    </w:rPr>
  </w:style>
  <w:style w:type="character" w:styleId="707" w:customStyle="1">
    <w:name w:val="Heading 5 Char"/>
    <w:basedOn w:val="701"/>
    <w:uiPriority w:val="9"/>
    <w:rPr>
      <w:rFonts w:ascii="Arial" w:hAnsi="Arial" w:eastAsia="Arial" w:cs="Arial"/>
      <w:b/>
      <w:bCs/>
      <w:sz w:val="24"/>
      <w:szCs w:val="24"/>
    </w:rPr>
  </w:style>
  <w:style w:type="character" w:styleId="708" w:customStyle="1">
    <w:name w:val="Heading 6 Char"/>
    <w:basedOn w:val="701"/>
    <w:uiPriority w:val="9"/>
    <w:rPr>
      <w:rFonts w:ascii="Arial" w:hAnsi="Arial" w:eastAsia="Arial" w:cs="Arial"/>
      <w:b/>
      <w:bCs/>
      <w:sz w:val="22"/>
      <w:szCs w:val="22"/>
    </w:rPr>
  </w:style>
  <w:style w:type="character" w:styleId="709" w:customStyle="1">
    <w:name w:val="Heading 7 Char"/>
    <w:basedOn w:val="701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10" w:customStyle="1">
    <w:name w:val="Heading 8 Char"/>
    <w:basedOn w:val="701"/>
    <w:uiPriority w:val="9"/>
    <w:rPr>
      <w:rFonts w:ascii="Arial" w:hAnsi="Arial" w:eastAsia="Arial" w:cs="Arial"/>
      <w:i/>
      <w:iCs/>
      <w:sz w:val="22"/>
      <w:szCs w:val="22"/>
    </w:rPr>
  </w:style>
  <w:style w:type="character" w:styleId="711" w:customStyle="1">
    <w:name w:val="Heading 9 Char"/>
    <w:basedOn w:val="701"/>
    <w:uiPriority w:val="9"/>
    <w:rPr>
      <w:rFonts w:ascii="Arial" w:hAnsi="Arial" w:eastAsia="Arial" w:cs="Arial"/>
      <w:i/>
      <w:iCs/>
      <w:sz w:val="21"/>
      <w:szCs w:val="21"/>
    </w:rPr>
  </w:style>
  <w:style w:type="character" w:styleId="712" w:customStyle="1">
    <w:name w:val="Quote Char"/>
    <w:uiPriority w:val="29"/>
    <w:rPr>
      <w:i/>
    </w:rPr>
  </w:style>
  <w:style w:type="character" w:styleId="713" w:customStyle="1">
    <w:name w:val="Intense Quote Char"/>
    <w:uiPriority w:val="30"/>
    <w:rPr>
      <w:i/>
    </w:rPr>
  </w:style>
  <w:style w:type="character" w:styleId="714" w:customStyle="1">
    <w:name w:val="Footnote Text Char"/>
    <w:uiPriority w:val="99"/>
    <w:rPr>
      <w:sz w:val="18"/>
    </w:rPr>
  </w:style>
  <w:style w:type="character" w:styleId="715" w:customStyle="1">
    <w:name w:val="Endnote Text Char"/>
    <w:uiPriority w:val="99"/>
    <w:rPr>
      <w:sz w:val="20"/>
    </w:rPr>
  </w:style>
  <w:style w:type="character" w:styleId="716" w:customStyle="1">
    <w:name w:val="Heading 1 Char"/>
    <w:uiPriority w:val="9"/>
    <w:rPr>
      <w:rFonts w:ascii="Arial" w:hAnsi="Arial" w:eastAsia="Arial" w:cs="Arial"/>
      <w:sz w:val="40"/>
      <w:szCs w:val="40"/>
    </w:rPr>
  </w:style>
  <w:style w:type="character" w:styleId="717" w:customStyle="1">
    <w:name w:val="Заголовок 2 Знак"/>
    <w:link w:val="693"/>
    <w:uiPriority w:val="9"/>
    <w:rPr>
      <w:rFonts w:ascii="Arial" w:hAnsi="Arial" w:eastAsia="Arial" w:cs="Arial"/>
      <w:sz w:val="34"/>
    </w:rPr>
  </w:style>
  <w:style w:type="character" w:styleId="718" w:customStyle="1">
    <w:name w:val="Заголовок 3 Знак"/>
    <w:link w:val="694"/>
    <w:uiPriority w:val="9"/>
    <w:rPr>
      <w:rFonts w:ascii="Arial" w:hAnsi="Arial" w:eastAsia="Arial" w:cs="Arial"/>
      <w:sz w:val="30"/>
      <w:szCs w:val="30"/>
    </w:rPr>
  </w:style>
  <w:style w:type="character" w:styleId="719" w:customStyle="1">
    <w:name w:val="Заголовок 4 Знак"/>
    <w:link w:val="695"/>
    <w:uiPriority w:val="9"/>
    <w:rPr>
      <w:rFonts w:ascii="Arial" w:hAnsi="Arial" w:eastAsia="Arial" w:cs="Arial"/>
      <w:b/>
      <w:bCs/>
      <w:sz w:val="26"/>
      <w:szCs w:val="26"/>
    </w:rPr>
  </w:style>
  <w:style w:type="character" w:styleId="720" w:customStyle="1">
    <w:name w:val="Заголовок 5 Знак"/>
    <w:link w:val="696"/>
    <w:uiPriority w:val="9"/>
    <w:rPr>
      <w:rFonts w:ascii="Arial" w:hAnsi="Arial" w:eastAsia="Arial" w:cs="Arial"/>
      <w:b/>
      <w:bCs/>
      <w:sz w:val="24"/>
      <w:szCs w:val="24"/>
    </w:rPr>
  </w:style>
  <w:style w:type="character" w:styleId="721" w:customStyle="1">
    <w:name w:val="Заголовок 6 Знак"/>
    <w:link w:val="697"/>
    <w:uiPriority w:val="9"/>
    <w:rPr>
      <w:rFonts w:ascii="Arial" w:hAnsi="Arial" w:eastAsia="Arial" w:cs="Arial"/>
      <w:b/>
      <w:bCs/>
      <w:sz w:val="22"/>
      <w:szCs w:val="22"/>
    </w:rPr>
  </w:style>
  <w:style w:type="character" w:styleId="722" w:customStyle="1">
    <w:name w:val="Заголовок 7 Знак"/>
    <w:link w:val="698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23" w:customStyle="1">
    <w:name w:val="Заголовок 8 Знак"/>
    <w:link w:val="699"/>
    <w:uiPriority w:val="9"/>
    <w:rPr>
      <w:rFonts w:ascii="Arial" w:hAnsi="Arial" w:eastAsia="Arial" w:cs="Arial"/>
      <w:i/>
      <w:iCs/>
      <w:sz w:val="22"/>
      <w:szCs w:val="22"/>
    </w:rPr>
  </w:style>
  <w:style w:type="character" w:styleId="724" w:customStyle="1">
    <w:name w:val="Заголовок 9 Знак"/>
    <w:link w:val="700"/>
    <w:uiPriority w:val="9"/>
    <w:rPr>
      <w:rFonts w:ascii="Arial" w:hAnsi="Arial" w:eastAsia="Arial" w:cs="Arial"/>
      <w:i/>
      <w:iCs/>
      <w:sz w:val="21"/>
      <w:szCs w:val="21"/>
    </w:rPr>
  </w:style>
  <w:style w:type="paragraph" w:styleId="725">
    <w:name w:val="List Paragraph"/>
    <w:basedOn w:val="691"/>
    <w:uiPriority w:val="34"/>
    <w:qFormat/>
    <w:pPr>
      <w:contextualSpacing/>
      <w:ind w:left="720"/>
    </w:pPr>
  </w:style>
  <w:style w:type="paragraph" w:styleId="726">
    <w:name w:val="No Spacing"/>
    <w:uiPriority w:val="1"/>
    <w:qFormat/>
  </w:style>
  <w:style w:type="paragraph" w:styleId="727">
    <w:name w:val="Title"/>
    <w:basedOn w:val="691"/>
    <w:link w:val="907"/>
    <w:uiPriority w:val="99"/>
    <w:qFormat/>
    <w:pPr>
      <w:jc w:val="center"/>
      <w:spacing w:after="0" w:line="216" w:lineRule="auto"/>
    </w:pPr>
    <w:rPr>
      <w:rFonts w:cs="Calibri"/>
      <w:b/>
      <w:bCs/>
      <w:sz w:val="28"/>
      <w:szCs w:val="28"/>
    </w:rPr>
  </w:style>
  <w:style w:type="character" w:styleId="728" w:customStyle="1">
    <w:name w:val="Title Char"/>
    <w:uiPriority w:val="10"/>
    <w:rPr>
      <w:sz w:val="48"/>
      <w:szCs w:val="48"/>
    </w:rPr>
  </w:style>
  <w:style w:type="paragraph" w:styleId="729">
    <w:name w:val="Subtitle"/>
    <w:basedOn w:val="691"/>
    <w:link w:val="889"/>
    <w:qFormat/>
    <w:pPr>
      <w:jc w:val="center"/>
      <w:spacing w:after="0" w:line="240" w:lineRule="auto"/>
    </w:pPr>
    <w:rPr>
      <w:rFonts w:ascii="Times New Roman" w:hAnsi="Times New Roman"/>
      <w:b/>
      <w:sz w:val="28"/>
      <w:szCs w:val="20"/>
    </w:rPr>
  </w:style>
  <w:style w:type="character" w:styleId="730" w:customStyle="1">
    <w:name w:val="Subtitle Char"/>
    <w:uiPriority w:val="11"/>
    <w:rPr>
      <w:sz w:val="24"/>
      <w:szCs w:val="24"/>
    </w:rPr>
  </w:style>
  <w:style w:type="paragraph" w:styleId="731">
    <w:name w:val="Quote"/>
    <w:basedOn w:val="691"/>
    <w:next w:val="691"/>
    <w:link w:val="732"/>
    <w:uiPriority w:val="29"/>
    <w:qFormat/>
    <w:pPr>
      <w:ind w:left="720" w:right="720"/>
    </w:pPr>
    <w:rPr>
      <w:i/>
    </w:rPr>
  </w:style>
  <w:style w:type="character" w:styleId="732" w:customStyle="1">
    <w:name w:val="Цитата 2 Знак"/>
    <w:link w:val="731"/>
    <w:uiPriority w:val="29"/>
    <w:rPr>
      <w:i/>
    </w:rPr>
  </w:style>
  <w:style w:type="paragraph" w:styleId="733">
    <w:name w:val="Intense Quote"/>
    <w:basedOn w:val="691"/>
    <w:next w:val="691"/>
    <w:link w:val="734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34" w:customStyle="1">
    <w:name w:val="Выделенная цитата Знак"/>
    <w:link w:val="733"/>
    <w:uiPriority w:val="30"/>
    <w:rPr>
      <w:i/>
    </w:rPr>
  </w:style>
  <w:style w:type="paragraph" w:styleId="735">
    <w:name w:val="Header"/>
    <w:basedOn w:val="691"/>
    <w:link w:val="903"/>
    <w:uiPriority w:val="99"/>
    <w:unhideWhenUsed/>
    <w:pPr>
      <w:tabs>
        <w:tab w:val="center" w:pos="4677" w:leader="none"/>
        <w:tab w:val="right" w:pos="9355" w:leader="none"/>
      </w:tabs>
    </w:pPr>
  </w:style>
  <w:style w:type="character" w:styleId="736" w:customStyle="1">
    <w:name w:val="Header Char"/>
    <w:uiPriority w:val="99"/>
  </w:style>
  <w:style w:type="paragraph" w:styleId="737">
    <w:name w:val="Footer"/>
    <w:basedOn w:val="691"/>
    <w:link w:val="886"/>
    <w:unhideWhenUsed/>
    <w:pPr>
      <w:ind w:firstLine="709"/>
      <w:jc w:val="both"/>
      <w:spacing w:after="0" w:line="240" w:lineRule="auto"/>
      <w:tabs>
        <w:tab w:val="center" w:pos="4536" w:leader="none"/>
        <w:tab w:val="right" w:pos="9072" w:leader="none"/>
      </w:tabs>
    </w:pPr>
    <w:rPr>
      <w:rFonts w:ascii="Times New Roman" w:hAnsi="Times New Roman"/>
      <w:sz w:val="28"/>
      <w:szCs w:val="20"/>
    </w:rPr>
  </w:style>
  <w:style w:type="character" w:styleId="738" w:customStyle="1">
    <w:name w:val="Footer Char"/>
    <w:uiPriority w:val="99"/>
  </w:style>
  <w:style w:type="paragraph" w:styleId="739">
    <w:name w:val="Caption"/>
    <w:basedOn w:val="691"/>
    <w:next w:val="691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styleId="740" w:customStyle="1">
    <w:name w:val="Caption Char"/>
    <w:uiPriority w:val="99"/>
  </w:style>
  <w:style w:type="table" w:styleId="741">
    <w:name w:val="Table Grid"/>
    <w:basedOn w:val="702"/>
    <w:uiPriority w:val="59"/>
    <w:tblPr/>
  </w:style>
  <w:style w:type="table" w:styleId="742" w:customStyle="1">
    <w:name w:val="Table Grid Light"/>
    <w:uiPriority w:val="59"/>
    <w:tblPr>
      <w:tblInd w:w="0" w:type="dxa"/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43">
    <w:name w:val="Plain Table 1"/>
    <w:uiPriority w:val="59"/>
    <w:tblPr>
      <w:tblInd w:w="0" w:type="dxa"/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44">
    <w:name w:val="Plain Table 2"/>
    <w:uiPriority w:val="59"/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45">
    <w:name w:val="Plain Table 3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46">
    <w:name w:val="Plain Table 4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7">
    <w:name w:val="Plain Table 5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48">
    <w:name w:val="Grid Table 1 Light"/>
    <w:uiPriority w:val="99"/>
    <w:tblPr>
      <w:tblStyleRowBandSize w:val="1"/>
      <w:tblStyleColBandSize w:val="1"/>
      <w:tblInd w:w="0" w:type="dxa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9" w:customStyle="1">
    <w:name w:val="Grid Table 1 Light - Accent 1"/>
    <w:uiPriority w:val="99"/>
    <w:tblPr>
      <w:tblStyleRowBandSize w:val="1"/>
      <w:tblStyleColBandSize w:val="1"/>
      <w:tblInd w:w="0" w:type="dxa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7B4D8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0" w:customStyle="1">
    <w:name w:val="Grid Table 1 Light - Accent 2"/>
    <w:uiPriority w:val="99"/>
    <w:tblPr>
      <w:tblStyleRowBandSize w:val="1"/>
      <w:tblStyleColBandSize w:val="1"/>
      <w:tblInd w:w="0" w:type="dxa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1" w:customStyle="1">
    <w:name w:val="Grid Table 1 Light - Accent 3"/>
    <w:uiPriority w:val="99"/>
    <w:tblPr>
      <w:tblStyleRowBandSize w:val="1"/>
      <w:tblStyleColBandSize w:val="1"/>
      <w:tblInd w:w="0" w:type="dxa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D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2" w:customStyle="1">
    <w:name w:val="Grid Table 1 Light - Accent 4"/>
    <w:uiPriority w:val="99"/>
    <w:tblPr>
      <w:tblStyleRowBandSize w:val="1"/>
      <w:tblStyleColBandSize w:val="1"/>
      <w:tblInd w:w="0" w:type="dxa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3" w:customStyle="1">
    <w:name w:val="Grid Table 1 Light - Accent 5"/>
    <w:uiPriority w:val="99"/>
    <w:tblPr>
      <w:tblStyleRowBandSize w:val="1"/>
      <w:tblStyleColBandSize w:val="1"/>
      <w:tblInd w:w="0" w:type="dxa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4" w:customStyle="1">
    <w:name w:val="Grid Table 1 Light - Accent 6"/>
    <w:uiPriority w:val="99"/>
    <w:tblPr>
      <w:tblStyleRowBandSize w:val="1"/>
      <w:tblStyleColBandSize w:val="1"/>
      <w:tblInd w:w="0" w:type="dxa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5">
    <w:name w:val="Grid Table 2"/>
    <w:uiPriority w:val="99"/>
    <w:tblPr>
      <w:tblStyleRowBandSize w:val="1"/>
      <w:tblStyleColBandSize w:val="1"/>
      <w:tblInd w:w="0" w:type="dxa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6" w:customStyle="1">
    <w:name w:val="Grid Table 2 - Accent 1"/>
    <w:uiPriority w:val="99"/>
    <w:tblPr>
      <w:tblStyleRowBandSize w:val="1"/>
      <w:tblStyleColBandSize w:val="1"/>
      <w:tblInd w:w="0" w:type="dxa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D8AC2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5D8AC2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7" w:customStyle="1">
    <w:name w:val="Grid Table 2 - Accent 2"/>
    <w:uiPriority w:val="99"/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D99695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8" w:customStyle="1">
    <w:name w:val="Grid Table 2 - Accent 3"/>
    <w:uiPriority w:val="99"/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9ABB59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 w:customStyle="1">
    <w:name w:val="Grid Table 2 - Accent 4"/>
    <w:uiPriority w:val="99"/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B2A1C6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 w:customStyle="1">
    <w:name w:val="Grid Table 2 - Accent 5"/>
    <w:uiPriority w:val="99"/>
    <w:tblPr>
      <w:tblStyleRowBandSize w:val="1"/>
      <w:tblStyleColBandSize w:val="1"/>
      <w:tblInd w:w="0" w:type="dxa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 w:customStyle="1">
    <w:name w:val="Grid Table 2 - Accent 6"/>
    <w:uiPriority w:val="99"/>
    <w:tblPr>
      <w:tblStyleRowBandSize w:val="1"/>
      <w:tblStyleColBandSize w:val="1"/>
      <w:tblInd w:w="0" w:type="dxa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>
    <w:name w:val="Grid Table 3"/>
    <w:uiPriority w:val="99"/>
    <w:tblPr>
      <w:tblStyleRowBandSize w:val="1"/>
      <w:tblStyleColBandSize w:val="1"/>
      <w:tblInd w:w="0" w:type="dxa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 w:customStyle="1">
    <w:name w:val="Grid Table 3 - Accent 1"/>
    <w:uiPriority w:val="99"/>
    <w:tblPr>
      <w:tblStyleRowBandSize w:val="1"/>
      <w:tblStyleColBandSize w:val="1"/>
      <w:tblInd w:w="0" w:type="dxa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 w:customStyle="1">
    <w:name w:val="Grid Table 3 - Accent 2"/>
    <w:uiPriority w:val="99"/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 w:customStyle="1">
    <w:name w:val="Grid Table 3 - Accent 3"/>
    <w:uiPriority w:val="99"/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 w:customStyle="1">
    <w:name w:val="Grid Table 3 - Accent 4"/>
    <w:uiPriority w:val="99"/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 w:customStyle="1">
    <w:name w:val="Grid Table 3 - Accent 5"/>
    <w:uiPriority w:val="99"/>
    <w:tblPr>
      <w:tblStyleRowBandSize w:val="1"/>
      <w:tblStyleColBandSize w:val="1"/>
      <w:tblInd w:w="0" w:type="dxa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 w:customStyle="1">
    <w:name w:val="Grid Table 3 - Accent 6"/>
    <w:uiPriority w:val="99"/>
    <w:tblPr>
      <w:tblStyleRowBandSize w:val="1"/>
      <w:tblStyleColBandSize w:val="1"/>
      <w:tblInd w:w="0" w:type="dxa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>
    <w:name w:val="Grid Table 4"/>
    <w:uiPriority w:val="59"/>
    <w:tblPr>
      <w:tblStyleRowBandSize w:val="1"/>
      <w:tblStyleColBandSize w:val="1"/>
      <w:tblInd w:w="0" w:type="dxa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0" w:customStyle="1">
    <w:name w:val="Grid Table 4 - Accent 1"/>
    <w:uiPriority w:val="59"/>
    <w:tblPr>
      <w:tblStyleRowBandSize w:val="1"/>
      <w:tblStyleColBandSize w:val="1"/>
      <w:tblInd w:w="0" w:type="dxa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ac2" w:themeColor="accent1" w:themeTint="EA" w:fill="5d8ac2" w:themeFill="accent1" w:themeFillTint="EA"/>
        <w:tcBorders>
          <w:top w:val="single" w:color="5D8AC2" w:themeColor="accent1" w:themeTint="EA" w:sz="4" w:space="0"/>
          <w:left w:val="single" w:color="5D8AC2" w:themeColor="accent1" w:themeTint="EA" w:sz="4" w:space="0"/>
          <w:bottom w:val="single" w:color="5D8AC2" w:themeColor="accent1" w:themeTint="EA" w:sz="4" w:space="0"/>
          <w:right w:val="single" w:color="5D8AC2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AC2" w:themeColor="accent1" w:themeTint="EA" w:sz="4" w:space="0"/>
        </w:tcBorders>
      </w:tcPr>
    </w:tblStylePr>
  </w:style>
  <w:style w:type="table" w:styleId="771" w:customStyle="1">
    <w:name w:val="Grid Table 4 - Accent 2"/>
    <w:uiPriority w:val="59"/>
    <w:tblPr>
      <w:tblStyleRowBandSize w:val="1"/>
      <w:tblStyleColBandSize w:val="1"/>
      <w:tblInd w:w="0" w:type="dxa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4" w:space="0"/>
          <w:left w:val="single" w:color="D99695" w:themeColor="accent2" w:themeTint="97" w:sz="4" w:space="0"/>
          <w:bottom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695" w:themeColor="accent2" w:themeTint="97" w:sz="4" w:space="0"/>
        </w:tcBorders>
      </w:tcPr>
    </w:tblStylePr>
  </w:style>
  <w:style w:type="table" w:styleId="772" w:customStyle="1">
    <w:name w:val="Grid Table 4 - Accent 3"/>
    <w:uiPriority w:val="59"/>
    <w:tblPr>
      <w:tblStyleRowBandSize w:val="1"/>
      <w:tblStyleColBandSize w:val="1"/>
      <w:tblInd w:w="0" w:type="dxa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abb59" w:themeColor="accent3" w:themeTint="FE" w:fill="9abb59" w:themeFill="accent3" w:themeFillTint="FE"/>
        <w:tcBorders>
          <w:top w:val="single" w:color="9ABB59" w:themeColor="accent3" w:themeTint="FE" w:sz="4" w:space="0"/>
          <w:left w:val="single" w:color="9ABB59" w:themeColor="accent3" w:themeTint="FE" w:sz="4" w:space="0"/>
          <w:bottom w:val="single" w:color="9ABB59" w:themeColor="accent3" w:themeTint="FE" w:sz="4" w:space="0"/>
          <w:right w:val="single" w:color="9ABB59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ABB59" w:themeColor="accent3" w:themeTint="FE" w:sz="4" w:space="0"/>
        </w:tcBorders>
      </w:tcPr>
    </w:tblStylePr>
  </w:style>
  <w:style w:type="table" w:styleId="773" w:customStyle="1">
    <w:name w:val="Grid Table 4 - Accent 4"/>
    <w:uiPriority w:val="59"/>
    <w:tblPr>
      <w:tblStyleRowBandSize w:val="1"/>
      <w:tblStyleColBandSize w:val="1"/>
      <w:tblInd w:w="0" w:type="dxa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</w:tcBorders>
      </w:tcPr>
    </w:tblStylePr>
  </w:style>
  <w:style w:type="table" w:styleId="774" w:customStyle="1">
    <w:name w:val="Grid Table 4 - Accent 5"/>
    <w:uiPriority w:val="59"/>
    <w:tblPr>
      <w:tblStyleRowBandSize w:val="1"/>
      <w:tblStyleColBandSize w:val="1"/>
      <w:tblInd w:w="0" w:type="dxa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</w:style>
  <w:style w:type="table" w:styleId="775" w:customStyle="1">
    <w:name w:val="Grid Table 4 - Accent 6"/>
    <w:uiPriority w:val="59"/>
    <w:tblPr>
      <w:tblStyleRowBandSize w:val="1"/>
      <w:tblStyleColBandSize w:val="1"/>
      <w:tblInd w:w="0" w:type="dxa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</w:style>
  <w:style w:type="table" w:styleId="776">
    <w:name w:val="Grid Table 5 Dark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777" w:customStyle="1">
    <w:name w:val="Grid Table 5 Dark- Accent 1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5f1" w:themeColor="accent1" w:themeTint="34" w:fill="dae5f1" w:themeFill="accent1" w:themeFill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aec4e0" w:themeColor="accent1" w:themeTint="75" w:fill="aec4e0" w:themeFill="accent1" w:themeFillTint="75"/>
      </w:tcPr>
    </w:tblStylePr>
    <w:tblStylePr w:type="band1Vert">
      <w:tcPr>
        <w:shd w:val="clear" w:color="aec4e0" w:themeColor="accent1" w:themeTint="75" w:fill="aec4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  <w:tcBorders>
          <w:top w:val="single" w:color="FFFFFF" w:themeColor="light1" w:sz="4" w:space="0"/>
        </w:tcBorders>
      </w:tcPr>
    </w:tblStylePr>
  </w:style>
  <w:style w:type="table" w:styleId="778" w:customStyle="1">
    <w:name w:val="Grid Table 5 Dark - Accent 2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2dcdc" w:themeColor="accent2" w:themeTint="32" w:fill="f2dcdc" w:themeFill="accent2" w:themeFillTint="32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e2aead" w:themeColor="accent2" w:themeTint="75" w:fill="e2aead" w:themeFill="accent2" w:themeFillTint="75"/>
      </w:tcPr>
    </w:tblStylePr>
    <w:tblStylePr w:type="band1Vert">
      <w:tcPr>
        <w:shd w:val="clear" w:color="e2aead" w:themeColor="accent2" w:themeTint="75" w:fill="e2aead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  <w:tcBorders>
          <w:top w:val="single" w:color="FFFFFF" w:themeColor="light1" w:sz="4" w:space="0"/>
        </w:tcBorders>
      </w:tcPr>
    </w:tblStylePr>
  </w:style>
  <w:style w:type="table" w:styleId="779" w:customStyle="1">
    <w:name w:val="Grid Table 5 Dark - Accent 3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af1dc" w:themeColor="accent3" w:themeTint="34" w:fill="eaf1dc" w:themeFill="accent3" w:themeFill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0dfb2" w:themeColor="accent3" w:themeTint="75" w:fill="d0dfb2" w:themeFill="accent3" w:themeFillTint="75"/>
      </w:tcPr>
    </w:tblStylePr>
    <w:tblStylePr w:type="band1Vert">
      <w:tcPr>
        <w:shd w:val="clear" w:color="d0dfb2" w:themeColor="accent3" w:themeTint="75" w:fill="d0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  <w:tcBorders>
          <w:top w:val="single" w:color="FFFFFF" w:themeColor="light1" w:sz="4" w:space="0"/>
        </w:tcBorders>
      </w:tcPr>
    </w:tblStylePr>
  </w:style>
  <w:style w:type="table" w:styleId="780" w:customStyle="1">
    <w:name w:val="Grid Table 5 Dark- Accent 4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5dfec" w:themeColor="accent4" w:themeTint="34" w:fill="e5dfec" w:themeFill="accent4" w:themeFill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c4b7d4" w:themeColor="accent4" w:themeTint="75" w:fill="c4b7d4" w:themeFill="accent4" w:themeFillTint="75"/>
      </w:tcPr>
    </w:tblStylePr>
    <w:tblStylePr w:type="band1Vert">
      <w:tcPr>
        <w:shd w:val="clear" w:color="c4b7d4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  <w:tcBorders>
          <w:top w:val="single" w:color="FFFFFF" w:themeColor="light1" w:sz="4" w:space="0"/>
        </w:tcBorders>
      </w:tcPr>
    </w:tblStylePr>
  </w:style>
  <w:style w:type="table" w:styleId="781" w:customStyle="1">
    <w:name w:val="Grid Table 5 Dark - Accent 5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ef3" w:themeColor="accent5" w:themeTint="34" w:fill="daeef3" w:themeFill="accent5" w:themeFill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acd8e4" w:themeColor="accent5" w:themeTint="75" w:fill="acd8e4" w:themeFill="accent5" w:themeFillTint="75"/>
      </w:tcPr>
    </w:tblStylePr>
    <w:tblStylePr w:type="band1Vert">
      <w:tcPr>
        <w:shd w:val="clear" w:color="acd8e4" w:themeColor="accent5" w:themeTint="75" w:fill="acd8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FFFFFF" w:themeColor="light1" w:sz="4" w:space="0"/>
        </w:tcBorders>
      </w:tcPr>
    </w:tblStylePr>
  </w:style>
  <w:style w:type="table" w:styleId="782" w:customStyle="1">
    <w:name w:val="Grid Table 5 Dark - Accent 6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de9d8" w:themeColor="accent6" w:themeTint="34" w:fill="fde9d8" w:themeFill="accent6" w:themeFill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bceaa" w:themeColor="accent6" w:themeTint="75" w:fill="fbceaa" w:themeFill="accent6" w:themeFillTint="75"/>
      </w:tcPr>
    </w:tblStylePr>
    <w:tblStylePr w:type="band1Vert">
      <w:tcPr>
        <w:shd w:val="clear" w:color="fbceaa" w:themeColor="accent6" w:themeTint="75" w:fill="fbceaa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FFFFF" w:themeColor="light1" w:sz="4" w:space="0"/>
        </w:tcBorders>
      </w:tcPr>
    </w:tblStylePr>
  </w:style>
  <w:style w:type="table" w:styleId="783">
    <w:name w:val="Grid Table 6 Colorful"/>
    <w:uiPriority w:val="99"/>
    <w:tblPr>
      <w:tblStyleRowBandSize w:val="1"/>
      <w:tblStyleColBandSize w:val="1"/>
      <w:tblInd w:w="0" w:type="dxa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784" w:customStyle="1">
    <w:name w:val="Grid Table 6 Colorful - Accent 1"/>
    <w:uiPriority w:val="99"/>
    <w:tblPr>
      <w:tblStyleRowBandSize w:val="1"/>
      <w:tblStyleColBandSize w:val="1"/>
      <w:tblInd w:w="0" w:type="dxa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b/>
        <w:color w:val="a6bfdd" w:themeColor="accent1" w:themeTint="80" w:themeShade="95"/>
      </w:rPr>
    </w:tblStylePr>
    <w:tblStylePr w:type="firstRow">
      <w:rPr>
        <w:b/>
        <w:color w:val="a6bfdd" w:themeColor="accent1" w:themeTint="80" w:themeShade="95"/>
      </w:rPr>
      <w:tcPr>
        <w:tcBorders>
          <w:bottom w:val="single" w:color="A6BFDD" w:themeColor="accent1" w:themeTint="80" w:sz="12" w:space="0"/>
        </w:tcBorders>
      </w:tcPr>
    </w:tblStylePr>
    <w:tblStylePr w:type="lastCol">
      <w:rPr>
        <w:b/>
        <w:color w:val="a6bfdd" w:themeColor="accent1" w:themeTint="80" w:themeShade="95"/>
      </w:rPr>
    </w:tblStylePr>
    <w:tblStylePr w:type="lastRow">
      <w:rPr>
        <w:b/>
        <w:color w:val="a6bfdd" w:themeColor="accent1" w:themeTint="80" w:themeShade="95"/>
      </w:rPr>
    </w:tblStylePr>
  </w:style>
  <w:style w:type="table" w:styleId="785" w:customStyle="1">
    <w:name w:val="Grid Table 6 Colorful - Accent 2"/>
    <w:uiPriority w:val="99"/>
    <w:tblPr>
      <w:tblStyleRowBandSize w:val="1"/>
      <w:tblStyleColBandSize w:val="1"/>
      <w:tblInd w:w="0" w:type="dxa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</w:tblStylePr>
  </w:style>
  <w:style w:type="table" w:styleId="786" w:customStyle="1">
    <w:name w:val="Grid Table 6 Colorful - Accent 3"/>
    <w:uiPriority w:val="99"/>
    <w:tblPr>
      <w:tblStyleRowBandSize w:val="1"/>
      <w:tblStyleColBandSize w:val="1"/>
      <w:tblInd w:w="0" w:type="dxa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b/>
        <w:color w:val="9abb59" w:themeColor="accent3" w:themeTint="FE" w:themeShade="95"/>
      </w:rPr>
    </w:tblStylePr>
    <w:tblStylePr w:type="firstRow">
      <w:rPr>
        <w:b/>
        <w:color w:val="9abb59" w:themeColor="accent3" w:themeTint="FE" w:themeShade="95"/>
      </w:rPr>
      <w:tcPr>
        <w:tcBorders>
          <w:bottom w:val="single" w:color="9ABB59" w:themeColor="accent3" w:themeTint="FE" w:sz="12" w:space="0"/>
        </w:tcBorders>
      </w:tcPr>
    </w:tblStylePr>
    <w:tblStylePr w:type="lastCol">
      <w:rPr>
        <w:b/>
        <w:color w:val="9abb59" w:themeColor="accent3" w:themeTint="FE" w:themeShade="95"/>
      </w:rPr>
    </w:tblStylePr>
    <w:tblStylePr w:type="lastRow">
      <w:rPr>
        <w:b/>
        <w:color w:val="9abb59" w:themeColor="accent3" w:themeTint="FE" w:themeShade="95"/>
      </w:rPr>
    </w:tblStylePr>
  </w:style>
  <w:style w:type="table" w:styleId="787" w:customStyle="1">
    <w:name w:val="Grid Table 6 Colorful - Accent 4"/>
    <w:uiPriority w:val="99"/>
    <w:tblPr>
      <w:tblStyleRowBandSize w:val="1"/>
      <w:tblStyleColBandSize w:val="1"/>
      <w:tblInd w:w="0" w:type="dxa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</w:tblStylePr>
  </w:style>
  <w:style w:type="table" w:styleId="788" w:customStyle="1">
    <w:name w:val="Grid Table 6 Colorful - Accent 5"/>
    <w:uiPriority w:val="99"/>
    <w:tblPr>
      <w:tblStyleRowBandSize w:val="1"/>
      <w:tblStyleColBandSize w:val="1"/>
      <w:tblInd w:w="0" w:type="dxa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4BACC6" w:themeColor="accent5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789" w:customStyle="1">
    <w:name w:val="Grid Table 6 Colorful - Accent 6"/>
    <w:uiPriority w:val="99"/>
    <w:tblPr>
      <w:tblStyleRowBandSize w:val="1"/>
      <w:tblStyleColBandSize w:val="1"/>
      <w:tblInd w:w="0" w:type="dxa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F79646" w:themeColor="accent6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790">
    <w:name w:val="Grid Table 7 Colorful"/>
    <w:uiPriority w:val="99"/>
    <w:tblPr>
      <w:tblStyleRowBandSize w:val="1"/>
      <w:tblStyleColBandSize w:val="1"/>
      <w:tblInd w:w="0" w:type="dxa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91" w:customStyle="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rFonts w:ascii="Arial" w:hAnsi="Arial"/>
        <w:i/>
        <w:color w:val="a6bfdd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6BFDD" w:themeColor="accent1" w:themeTint="80" w:sz="4" w:space="0"/>
        </w:tcBorders>
      </w:tcPr>
    </w:tblStylePr>
    <w:tblStylePr w:type="fir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6BFDD" w:themeColor="accen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A6BFDD" w:themeColor="accen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6BFDD" w:themeColor="accen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92" w:customStyle="1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D99695" w:themeColor="accent2" w:themeTint="97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0" w:space="0"/>
          <w:left w:val="single" w:color="D99695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93" w:customStyle="1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rFonts w:ascii="Arial" w:hAnsi="Arial"/>
        <w:i/>
        <w:color w:val="9abb59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ABB59" w:themeColor="accent3" w:themeTint="FE" w:sz="4" w:space="0"/>
        </w:tcBorders>
      </w:tcPr>
    </w:tblStylePr>
    <w:tblStylePr w:type="fir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ABB59" w:themeColor="accent3" w:themeTint="FE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cPr>
        <w:shd w:val="clear" w:color="ffffff" w:fill="auto"/>
        <w:tcBorders>
          <w:top w:val="none" w:color="000000" w:sz="0" w:space="0"/>
          <w:left w:val="single" w:color="9ABB59" w:themeColor="accent3" w:themeTint="FE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9ABB59" w:themeColor="accent3" w:themeTint="FE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94" w:customStyle="1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B2A1C6" w:themeColor="accent4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B2A1C6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95" w:customStyle="1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rFonts w:ascii="Arial" w:hAnsi="Arial"/>
        <w:i/>
        <w:color w:val="266779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9D0DE" w:themeColor="accent5" w:themeTint="90" w:sz="4" w:space="0"/>
        </w:tcBorders>
      </w:tcPr>
    </w:tblStylePr>
    <w:tblStylePr w:type="fir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9D0DE" w:themeColor="accent5" w:themeTint="9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cPr>
        <w:shd w:val="clear" w:color="ffffff" w:fill="auto"/>
        <w:tcBorders>
          <w:top w:val="none" w:color="000000" w:sz="0" w:space="0"/>
          <w:left w:val="single" w:color="99D0DE" w:themeColor="accent5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single" w:color="99D0DE" w:themeColor="accent5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96" w:customStyle="1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b15407" w:themeColor="accent6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  <w:tblStylePr w:type="firstCol">
      <w:rPr>
        <w:rFonts w:ascii="Arial" w:hAnsi="Arial"/>
        <w:i/>
        <w:color w:val="b15407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AC396" w:themeColor="accent6" w:themeTint="90" w:sz="4" w:space="0"/>
        </w:tcBorders>
      </w:tcPr>
    </w:tblStylePr>
    <w:tblStylePr w:type="fir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AC396" w:themeColor="accent6" w:themeTint="9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cPr>
        <w:shd w:val="clear" w:color="ffffff" w:fill="auto"/>
        <w:tcBorders>
          <w:top w:val="none" w:color="000000" w:sz="0" w:space="0"/>
          <w:left w:val="single" w:color="FAC396" w:themeColor="accent6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single" w:color="FAC396" w:themeColor="accent6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97">
    <w:name w:val="List Table 1 Light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8" w:customStyle="1">
    <w:name w:val="List Table 1 Light - Accent 1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9" w:customStyle="1">
    <w:name w:val="List Table 1 Light - Accent 2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0" w:customStyle="1">
    <w:name w:val="List Table 1 Light - Accent 3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1" w:customStyle="1">
    <w:name w:val="List Table 1 Light - Accent 4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2" w:customStyle="1">
    <w:name w:val="List Table 1 Light - Accent 5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3" w:customStyle="1">
    <w:name w:val="List Table 1 Light - Accent 6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4">
    <w:name w:val="List Table 2"/>
    <w:uiPriority w:val="99"/>
    <w:tblPr>
      <w:tblStyleRowBandSize w:val="1"/>
      <w:tblStyleColBandSize w:val="1"/>
      <w:tblInd w:w="0" w:type="dxa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805" w:customStyle="1">
    <w:name w:val="List Table 2 - Accent 1"/>
    <w:uiPriority w:val="99"/>
    <w:tblPr>
      <w:tblStyleRowBandSize w:val="1"/>
      <w:tblStyleColBandSize w:val="1"/>
      <w:tblInd w:w="0" w:type="dxa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</w:style>
  <w:style w:type="table" w:styleId="806" w:customStyle="1">
    <w:name w:val="List Table 2 - Accent 2"/>
    <w:uiPriority w:val="99"/>
    <w:tblPr>
      <w:tblStyleRowBandSize w:val="1"/>
      <w:tblStyleColBandSize w:val="1"/>
      <w:tblInd w:w="0" w:type="dxa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</w:style>
  <w:style w:type="table" w:styleId="807" w:customStyle="1">
    <w:name w:val="List Table 2 - Accent 3"/>
    <w:uiPriority w:val="99"/>
    <w:tblPr>
      <w:tblStyleRowBandSize w:val="1"/>
      <w:tblStyleColBandSize w:val="1"/>
      <w:tblInd w:w="0" w:type="dxa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</w:style>
  <w:style w:type="table" w:styleId="808" w:customStyle="1">
    <w:name w:val="List Table 2 - Accent 4"/>
    <w:uiPriority w:val="99"/>
    <w:tblPr>
      <w:tblStyleRowBandSize w:val="1"/>
      <w:tblStyleColBandSize w:val="1"/>
      <w:tblInd w:w="0" w:type="dxa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</w:style>
  <w:style w:type="table" w:styleId="809" w:customStyle="1">
    <w:name w:val="List Table 2 - Accent 5"/>
    <w:uiPriority w:val="99"/>
    <w:tblPr>
      <w:tblStyleRowBandSize w:val="1"/>
      <w:tblStyleColBandSize w:val="1"/>
      <w:tblInd w:w="0" w:type="dxa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</w:style>
  <w:style w:type="table" w:styleId="810" w:customStyle="1">
    <w:name w:val="List Table 2 - Accent 6"/>
    <w:uiPriority w:val="99"/>
    <w:tblPr>
      <w:tblStyleRowBandSize w:val="1"/>
      <w:tblStyleColBandSize w:val="1"/>
      <w:tblInd w:w="0" w:type="dxa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</w:style>
  <w:style w:type="table" w:styleId="811">
    <w:name w:val="List Table 3"/>
    <w:uiPriority w:val="99"/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2" w:customStyle="1">
    <w:name w:val="List Table 3 - Accent 1"/>
    <w:uiPriority w:val="99"/>
    <w:tblPr>
      <w:tblStyleRowBandSize w:val="1"/>
      <w:tblStyleColBandSize w:val="1"/>
      <w:tblInd w:w="0" w:type="dxa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3" w:customStyle="1">
    <w:name w:val="List Table 3 - Accent 2"/>
    <w:uiPriority w:val="99"/>
    <w:tblPr>
      <w:tblStyleRowBandSize w:val="1"/>
      <w:tblStyleColBandSize w:val="1"/>
      <w:tblInd w:w="0" w:type="dxa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99695" w:themeColor="accent2" w:themeTint="97" w:sz="4" w:space="0"/>
          <w:bottom w:val="single" w:color="D99695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4" w:customStyle="1">
    <w:name w:val="List Table 3 - Accent 3"/>
    <w:uiPriority w:val="99"/>
    <w:tblPr>
      <w:tblStyleRowBandSize w:val="1"/>
      <w:tblStyleColBandSize w:val="1"/>
      <w:tblInd w:w="0" w:type="dxa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B" w:themeColor="accent3" w:themeTint="98" w:sz="4" w:space="0"/>
          <w:bottom w:val="single" w:color="C3D69B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B" w:themeColor="accent3" w:themeTint="98" w:sz="4" w:space="0"/>
          <w:right w:val="single" w:color="C3D69B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b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5" w:customStyle="1">
    <w:name w:val="List Table 3 - Accent 4"/>
    <w:uiPriority w:val="99"/>
    <w:tblPr>
      <w:tblStyleRowBandSize w:val="1"/>
      <w:tblStyleColBandSize w:val="1"/>
      <w:tblInd w:w="0" w:type="dxa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6" w:customStyle="1">
    <w:name w:val="List Table 3 - Accent 5"/>
    <w:uiPriority w:val="99"/>
    <w:tblPr>
      <w:tblStyleRowBandSize w:val="1"/>
      <w:tblStyleColBandSize w:val="1"/>
      <w:tblInd w:w="0" w:type="dxa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themeColor="accent5" w:themeTint="9A" w:fill="92cc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7" w:customStyle="1">
    <w:name w:val="List Table 3 - Accent 6"/>
    <w:uiPriority w:val="99"/>
    <w:tblPr>
      <w:tblStyleRowBandSize w:val="1"/>
      <w:tblStyleColBandSize w:val="1"/>
      <w:tblInd w:w="0" w:type="dxa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themeColor="accent6" w:themeTint="98" w:fill="fac0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8">
    <w:name w:val="List Table 4"/>
    <w:uiPriority w:val="99"/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9" w:customStyle="1">
    <w:name w:val="List Table 4 - Accent 1"/>
    <w:uiPriority w:val="99"/>
    <w:tblPr>
      <w:tblStyleRowBandSize w:val="1"/>
      <w:tblStyleColBandSize w:val="1"/>
      <w:tblInd w:w="0" w:type="dxa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0" w:customStyle="1">
    <w:name w:val="List Table 4 - Accent 2"/>
    <w:uiPriority w:val="99"/>
    <w:tblPr>
      <w:tblStyleRowBandSize w:val="1"/>
      <w:tblStyleColBandSize w:val="1"/>
      <w:tblInd w:w="0" w:type="dxa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1" w:customStyle="1">
    <w:name w:val="List Table 4 - Accent 3"/>
    <w:uiPriority w:val="99"/>
    <w:tblPr>
      <w:tblStyleRowBandSize w:val="1"/>
      <w:tblStyleColBandSize w:val="1"/>
      <w:tblInd w:w="0" w:type="dxa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2" w:customStyle="1">
    <w:name w:val="List Table 4 - Accent 4"/>
    <w:uiPriority w:val="99"/>
    <w:tblPr>
      <w:tblStyleRowBandSize w:val="1"/>
      <w:tblStyleColBandSize w:val="1"/>
      <w:tblInd w:w="0" w:type="dxa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3" w:customStyle="1">
    <w:name w:val="List Table 4 - Accent 5"/>
    <w:uiPriority w:val="99"/>
    <w:tblPr>
      <w:tblStyleRowBandSize w:val="1"/>
      <w:tblStyleColBandSize w:val="1"/>
      <w:tblInd w:w="0" w:type="dxa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4" w:customStyle="1">
    <w:name w:val="List Table 4 - Accent 6"/>
    <w:uiPriority w:val="99"/>
    <w:tblPr>
      <w:tblStyleRowBandSize w:val="1"/>
      <w:tblStyleColBandSize w:val="1"/>
      <w:tblInd w:w="0" w:type="dxa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5">
    <w:name w:val="List Table 5 Dark"/>
    <w:uiPriority w:val="99"/>
    <w:tblPr>
      <w:tblStyleRowBandSize w:val="1"/>
      <w:tblStyleColBandSize w:val="1"/>
      <w:tblInd w:w="0" w:type="dxa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26" w:customStyle="1">
    <w:name w:val="List Table 5 Dark - Accent 1"/>
    <w:uiPriority w:val="99"/>
    <w:tblPr>
      <w:tblStyleRowBandSize w:val="1"/>
      <w:tblStyleColBandSize w:val="1"/>
      <w:tblInd w:w="0" w:type="dxa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shd w:val="clear" w:color="4f81bd" w:themeColor="accent1" w:fill="4f81bd" w:themeFill="accent1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4f81bd" w:themeColor="accent1" w:fill="4f81bd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4f81bd" w:themeColor="accent1" w:fill="4f81bd" w:themeFill="accent1"/>
        <w:tcBorders>
          <w:top w:val="single" w:color="4F81BD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27" w:customStyle="1">
    <w:name w:val="List Table 5 Dark - Accent 2"/>
    <w:uiPriority w:val="99"/>
    <w:tblPr>
      <w:tblStyleRowBandSize w:val="1"/>
      <w:tblStyleColBandSize w:val="1"/>
      <w:tblInd w:w="0" w:type="dxa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  <w:shd w:val="clear" w:color="d99695" w:themeColor="accent2" w:themeTint="97" w:fill="d99695" w:themeFill="accent2" w:themeFillTint="97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d99695" w:themeColor="accent2" w:themeTint="97" w:fill="d99695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D99695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99695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28" w:customStyle="1">
    <w:name w:val="List Table 5 Dark - Accent 3"/>
    <w:uiPriority w:val="99"/>
    <w:tblPr>
      <w:tblStyleRowBandSize w:val="1"/>
      <w:tblStyleColBandSize w:val="1"/>
      <w:tblInd w:w="0" w:type="dxa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  <w:shd w:val="clear" w:color="c3d69b" w:themeColor="accent3" w:themeTint="98" w:fill="c3d69b" w:themeFill="accent3" w:themeFillTint="98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3d69b" w:themeColor="accent3" w:themeTint="98" w:fill="c3d69b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3D69B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3d69b" w:themeColor="accent3" w:themeTint="98" w:fill="c3d69b" w:themeFill="accent3" w:themeFillTint="98"/>
        <w:tcBorders>
          <w:top w:val="single" w:color="C3D69B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3D69B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29" w:customStyle="1">
    <w:name w:val="List Table 5 Dark - Accent 4"/>
    <w:uiPriority w:val="99"/>
    <w:tblPr>
      <w:tblStyleRowBandSize w:val="1"/>
      <w:tblStyleColBandSize w:val="1"/>
      <w:tblInd w:w="0" w:type="dxa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shd w:val="clear" w:color="b2a1c6" w:themeColor="accent4" w:themeTint="9A" w:fill="b2a1c6" w:themeFill="accent4" w:themeFillTint="9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b2a1c6" w:themeColor="accent4" w:themeTint="9A" w:fill="b2a1c6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30" w:customStyle="1">
    <w:name w:val="List Table 5 Dark - Accent 5"/>
    <w:uiPriority w:val="99"/>
    <w:tblPr>
      <w:tblStyleRowBandSize w:val="1"/>
      <w:tblStyleColBandSize w:val="1"/>
      <w:tblInd w:w="0" w:type="dxa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shd w:val="clear" w:color="92ccdc" w:themeColor="accent5" w:themeTint="9A" w:fill="92ccdc" w:themeFill="accent5" w:themeFillTint="9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92ccdc" w:themeColor="accent5" w:themeTint="9A" w:fill="92ccdc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92ccdc" w:themeColor="accent5" w:themeTint="9A" w:fill="92ccdc" w:themeFill="accent5" w:themeFillTint="9A"/>
        <w:tcBorders>
          <w:top w:val="single" w:color="92CCDC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31" w:customStyle="1">
    <w:name w:val="List Table 5 Dark - Accent 6"/>
    <w:uiPriority w:val="99"/>
    <w:tblPr>
      <w:tblStyleRowBandSize w:val="1"/>
      <w:tblStyleColBandSize w:val="1"/>
      <w:tblInd w:w="0" w:type="dxa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shd w:val="clear" w:color="fac090" w:themeColor="accent6" w:themeTint="98" w:fill="fac090" w:themeFill="accent6" w:themeFillTint="98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ac090" w:themeColor="accent6" w:themeTint="98" w:fill="fac090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ac090" w:themeColor="accent6" w:themeTint="98" w:fill="fac090" w:themeFill="accent6" w:themeFillTint="98"/>
        <w:tcBorders>
          <w:top w:val="single" w:color="FAC090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32">
    <w:name w:val="List Table 6 Colorful"/>
    <w:uiPriority w:val="99"/>
    <w:tblPr>
      <w:tblStyleRowBandSize w:val="1"/>
      <w:tblStyleColBandSize w:val="1"/>
      <w:tblInd w:w="0" w:type="dxa"/>
      <w:tblBorders>
        <w:top w:val="single" w:color="7F7F7F" w:themeColor="text1" w:themeTint="80" w:sz="4" w:space="0"/>
        <w:bottom w:val="single" w:color="7F7F7F" w:themeColor="tex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833" w:customStyle="1">
    <w:name w:val="List Table 6 Colorful - Accent 1"/>
    <w:uiPriority w:val="99"/>
    <w:tblPr>
      <w:tblStyleRowBandSize w:val="1"/>
      <w:tblStyleColBandSize w:val="1"/>
      <w:tblInd w:w="0" w:type="dxa"/>
      <w:tblBorders>
        <w:top w:val="single" w:color="4F81BD" w:themeColor="accent1" w:sz="4" w:space="0"/>
        <w:bottom w:val="single" w:color="4F81BD" w:themeColor="accen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b/>
        <w:color w:val="2a4a71" w:themeColor="accent1" w:themeShade="95"/>
      </w:rPr>
    </w:tblStylePr>
    <w:tblStylePr w:type="firstRow">
      <w:rPr>
        <w:b/>
        <w:color w:val="2a4a71" w:themeColor="accent1" w:themeShade="95"/>
      </w:rPr>
      <w:tcPr>
        <w:tcBorders>
          <w:bottom w:val="single" w:color="4F81BD" w:themeColor="accent1" w:sz="4" w:space="0"/>
        </w:tcBorders>
      </w:tcPr>
    </w:tblStylePr>
    <w:tblStylePr w:type="lastCol">
      <w:rPr>
        <w:b/>
        <w:color w:val="2a4a71" w:themeColor="accent1" w:themeShade="95"/>
      </w:rPr>
    </w:tblStylePr>
    <w:tblStylePr w:type="lastRow">
      <w:rPr>
        <w:b/>
        <w:color w:val="2a4a71" w:themeColor="accent1" w:themeShade="95"/>
      </w:rPr>
      <w:tcPr>
        <w:tcBorders>
          <w:top w:val="single" w:color="4F81BD" w:themeColor="accent1" w:sz="4" w:space="0"/>
        </w:tcBorders>
      </w:tcPr>
    </w:tblStylePr>
  </w:style>
  <w:style w:type="table" w:styleId="834" w:customStyle="1">
    <w:name w:val="List Table 6 Colorful - Accent 2"/>
    <w:uiPriority w:val="99"/>
    <w:tblPr>
      <w:tblStyleRowBandSize w:val="1"/>
      <w:tblStyleColBandSize w:val="1"/>
      <w:tblInd w:w="0" w:type="dxa"/>
      <w:tblBorders>
        <w:top w:val="single" w:color="D99695" w:themeColor="accent2" w:themeTint="97" w:sz="4" w:space="0"/>
        <w:bottom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4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  <w:tcPr>
        <w:tcBorders>
          <w:top w:val="single" w:color="D99695" w:themeColor="accent2" w:themeTint="97" w:sz="4" w:space="0"/>
        </w:tcBorders>
      </w:tcPr>
    </w:tblStylePr>
  </w:style>
  <w:style w:type="table" w:styleId="835" w:customStyle="1">
    <w:name w:val="List Table 6 Colorful - Accent 3"/>
    <w:uiPriority w:val="99"/>
    <w:tblPr>
      <w:tblStyleRowBandSize w:val="1"/>
      <w:tblStyleColBandSize w:val="1"/>
      <w:tblInd w:w="0" w:type="dxa"/>
      <w:tblBorders>
        <w:top w:val="single" w:color="C3D69B" w:themeColor="accent3" w:themeTint="98" w:sz="4" w:space="0"/>
        <w:bottom w:val="single" w:color="C3D69B" w:themeColor="accent3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b/>
        <w:color w:val="c3d69b" w:themeColor="accent3" w:themeTint="98" w:themeShade="95"/>
      </w:rPr>
    </w:tblStylePr>
    <w:tblStylePr w:type="firstRow">
      <w:rPr>
        <w:b/>
        <w:color w:val="c3d69b" w:themeColor="accent3" w:themeTint="98" w:themeShade="95"/>
      </w:rPr>
      <w:tcPr>
        <w:tcBorders>
          <w:bottom w:val="single" w:color="C3D69B" w:themeColor="accent3" w:themeTint="98" w:sz="4" w:space="0"/>
        </w:tcBorders>
      </w:tcPr>
    </w:tblStylePr>
    <w:tblStylePr w:type="lastCol">
      <w:rPr>
        <w:b/>
        <w:color w:val="c3d69b" w:themeColor="accent3" w:themeTint="98" w:themeShade="95"/>
      </w:rPr>
    </w:tblStylePr>
    <w:tblStylePr w:type="lastRow">
      <w:rPr>
        <w:b/>
        <w:color w:val="c3d69b" w:themeColor="accent3" w:themeTint="98" w:themeShade="95"/>
      </w:rPr>
      <w:tcPr>
        <w:tcBorders>
          <w:top w:val="single" w:color="C3D69B" w:themeColor="accent3" w:themeTint="98" w:sz="4" w:space="0"/>
        </w:tcBorders>
      </w:tcPr>
    </w:tblStylePr>
  </w:style>
  <w:style w:type="table" w:styleId="836" w:customStyle="1">
    <w:name w:val="List Table 6 Colorful - Accent 4"/>
    <w:uiPriority w:val="99"/>
    <w:tblPr>
      <w:tblStyleRowBandSize w:val="1"/>
      <w:tblStyleColBandSize w:val="1"/>
      <w:tblInd w:w="0" w:type="dxa"/>
      <w:tblBorders>
        <w:top w:val="single" w:color="B2A1C6" w:themeColor="accent4" w:themeTint="9A" w:sz="4" w:space="0"/>
        <w:bottom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4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  <w:tcPr>
        <w:tcBorders>
          <w:top w:val="single" w:color="B2A1C6" w:themeColor="accent4" w:themeTint="9A" w:sz="4" w:space="0"/>
        </w:tcBorders>
      </w:tcPr>
    </w:tblStylePr>
  </w:style>
  <w:style w:type="table" w:styleId="837" w:customStyle="1">
    <w:name w:val="List Table 6 Colorful - Accent 5"/>
    <w:uiPriority w:val="99"/>
    <w:tblPr>
      <w:tblStyleRowBandSize w:val="1"/>
      <w:tblStyleColBandSize w:val="1"/>
      <w:tblInd w:w="0" w:type="dxa"/>
      <w:tblBorders>
        <w:top w:val="single" w:color="92CCDC" w:themeColor="accent5" w:themeTint="9A" w:sz="4" w:space="0"/>
        <w:bottom w:val="single" w:color="92CCDC" w:themeColor="accent5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b/>
        <w:color w:val="92ccdc" w:themeColor="accent5" w:themeTint="9A" w:themeShade="95"/>
      </w:rPr>
    </w:tblStylePr>
    <w:tblStylePr w:type="firstRow">
      <w:rPr>
        <w:b/>
        <w:color w:val="92ccdc" w:themeColor="accent5" w:themeTint="9A" w:themeShade="95"/>
      </w:rPr>
      <w:tcPr>
        <w:tcBorders>
          <w:bottom w:val="single" w:color="92CCDC" w:themeColor="accent5" w:themeTint="9A" w:sz="4" w:space="0"/>
        </w:tcBorders>
      </w:tcPr>
    </w:tblStylePr>
    <w:tblStylePr w:type="lastCol">
      <w:rPr>
        <w:b/>
        <w:color w:val="92ccdc" w:themeColor="accent5" w:themeTint="9A" w:themeShade="95"/>
      </w:rPr>
    </w:tblStylePr>
    <w:tblStylePr w:type="lastRow">
      <w:rPr>
        <w:b/>
        <w:color w:val="92ccdc" w:themeColor="accent5" w:themeTint="9A" w:themeShade="95"/>
      </w:rPr>
      <w:tcPr>
        <w:tcBorders>
          <w:top w:val="single" w:color="92CCDC" w:themeColor="accent5" w:themeTint="9A" w:sz="4" w:space="0"/>
        </w:tcBorders>
      </w:tcPr>
    </w:tblStylePr>
  </w:style>
  <w:style w:type="table" w:styleId="838" w:customStyle="1">
    <w:name w:val="List Table 6 Colorful - Accent 6"/>
    <w:uiPriority w:val="99"/>
    <w:tblPr>
      <w:tblStyleRowBandSize w:val="1"/>
      <w:tblStyleColBandSize w:val="1"/>
      <w:tblInd w:w="0" w:type="dxa"/>
      <w:tblBorders>
        <w:top w:val="single" w:color="FAC090" w:themeColor="accent6" w:themeTint="98" w:sz="4" w:space="0"/>
        <w:bottom w:val="single" w:color="FAC090" w:themeColor="accent6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b/>
        <w:color w:val="fac090" w:themeColor="accent6" w:themeTint="98" w:themeShade="95"/>
      </w:rPr>
    </w:tblStylePr>
    <w:tblStylePr w:type="firstRow">
      <w:rPr>
        <w:b/>
        <w:color w:val="fac090" w:themeColor="accent6" w:themeTint="98" w:themeShade="95"/>
      </w:rPr>
      <w:tcPr>
        <w:tcBorders>
          <w:bottom w:val="single" w:color="FAC090" w:themeColor="accent6" w:themeTint="98" w:sz="4" w:space="0"/>
        </w:tcBorders>
      </w:tcPr>
    </w:tblStylePr>
    <w:tblStylePr w:type="lastCol">
      <w:rPr>
        <w:b/>
        <w:color w:val="fac090" w:themeColor="accent6" w:themeTint="98" w:themeShade="95"/>
      </w:rPr>
    </w:tblStylePr>
    <w:tblStylePr w:type="lastRow">
      <w:rPr>
        <w:b/>
        <w:color w:val="fac090" w:themeColor="accent6" w:themeTint="98" w:themeShade="95"/>
      </w:rPr>
      <w:tcPr>
        <w:tcBorders>
          <w:top w:val="single" w:color="FAC090" w:themeColor="accent6" w:themeTint="98" w:sz="4" w:space="0"/>
        </w:tcBorders>
      </w:tcPr>
    </w:tblStylePr>
  </w:style>
  <w:style w:type="table" w:styleId="839">
    <w:name w:val="List Table 7 Colorful"/>
    <w:uiPriority w:val="99"/>
    <w:tblPr>
      <w:tblStyleRowBandSize w:val="1"/>
      <w:tblStyleColBandSize w:val="1"/>
      <w:tblInd w:w="0" w:type="dxa"/>
      <w:tblBorders>
        <w:right w:val="single" w:color="7F7F7F" w:themeColor="tex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40" w:customStyle="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color="4F81BD" w:themeColor="accen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rFonts w:ascii="Arial" w:hAnsi="Arial"/>
        <w:i/>
        <w:color w:val="2a4a71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4F81BD" w:themeColor="accent1" w:sz="4" w:space="0"/>
        </w:tcBorders>
      </w:tcPr>
    </w:tblStylePr>
    <w:tblStylePr w:type="fir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4F81BD" w:themeColor="accent1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cPr>
        <w:shd w:val="clear" w:color="ffffff" w:fill="auto"/>
        <w:tcBorders>
          <w:top w:val="none" w:color="000000" w:sz="0" w:space="0"/>
          <w:left w:val="single" w:color="4F81BD" w:themeColor="accent1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single" w:color="4F81BD" w:themeColor="accent1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41" w:customStyle="1">
    <w:name w:val="List Table 7 Colorful - Accent 2"/>
    <w:uiPriority w:val="99"/>
    <w:tblPr>
      <w:tblStyleRowBandSize w:val="1"/>
      <w:tblStyleColBandSize w:val="1"/>
      <w:tblInd w:w="0" w:type="dxa"/>
      <w:tblBorders>
        <w:right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D99695" w:themeColor="accent2" w:themeTint="97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0" w:space="0"/>
          <w:left w:val="single" w:color="D99695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42" w:customStyle="1">
    <w:name w:val="List Table 7 Colorful - Accent 3"/>
    <w:uiPriority w:val="99"/>
    <w:tblPr>
      <w:tblStyleRowBandSize w:val="1"/>
      <w:tblStyleColBandSize w:val="1"/>
      <w:tblInd w:w="0" w:type="dxa"/>
      <w:tblBorders>
        <w:right w:val="single" w:color="C3D69B" w:themeColor="accent3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rFonts w:ascii="Arial" w:hAnsi="Arial"/>
        <w:i/>
        <w:color w:val="c3d69b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C3D69B" w:themeColor="accent3" w:themeTint="98" w:sz="4" w:space="0"/>
        </w:tcBorders>
      </w:tcPr>
    </w:tblStylePr>
    <w:tblStylePr w:type="fir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C3D69B" w:themeColor="accent3" w:themeTint="98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fill="auto"/>
        <w:tcBorders>
          <w:top w:val="none" w:color="000000" w:sz="0" w:space="0"/>
          <w:left w:val="single" w:color="C3D69B" w:themeColor="accent3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3D69B" w:themeColor="accent3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43" w:customStyle="1">
    <w:name w:val="List Table 7 Colorful - Accent 4"/>
    <w:uiPriority w:val="99"/>
    <w:tblPr>
      <w:tblStyleRowBandSize w:val="1"/>
      <w:tblStyleColBandSize w:val="1"/>
      <w:tblInd w:w="0" w:type="dxa"/>
      <w:tblBorders>
        <w:right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B2A1C6" w:themeColor="accent4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B2A1C6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44" w:customStyle="1">
    <w:name w:val="List Table 7 Colorful - Accent 5"/>
    <w:uiPriority w:val="99"/>
    <w:tblPr>
      <w:tblStyleRowBandSize w:val="1"/>
      <w:tblStyleColBandSize w:val="1"/>
      <w:tblInd w:w="0" w:type="dxa"/>
      <w:tblBorders>
        <w:right w:val="single" w:color="92CCDC" w:themeColor="accent5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rFonts w:ascii="Arial" w:hAnsi="Arial"/>
        <w:i/>
        <w:color w:val="92ccdc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2CCDC" w:themeColor="accent5" w:themeTint="9A" w:sz="4" w:space="0"/>
        </w:tcBorders>
      </w:tcPr>
    </w:tblStylePr>
    <w:tblStylePr w:type="fir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2CCDC" w:themeColor="accent5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92CCDC" w:themeColor="accent5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92CCDC" w:themeColor="accent5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45" w:customStyle="1">
    <w:name w:val="List Table 7 Colorful - Accent 6"/>
    <w:uiPriority w:val="99"/>
    <w:tblPr>
      <w:tblStyleRowBandSize w:val="1"/>
      <w:tblStyleColBandSize w:val="1"/>
      <w:tblInd w:w="0" w:type="dxa"/>
      <w:tblBorders>
        <w:right w:val="single" w:color="FAC090" w:themeColor="accent6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rFonts w:ascii="Arial" w:hAnsi="Arial"/>
        <w:i/>
        <w:color w:val="fac090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AC090" w:themeColor="accent6" w:themeTint="98" w:sz="4" w:space="0"/>
        </w:tcBorders>
      </w:tcPr>
    </w:tblStylePr>
    <w:tblStylePr w:type="fir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AC090" w:themeColor="accent6" w:themeTint="98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fill="auto"/>
        <w:tcBorders>
          <w:top w:val="none" w:color="000000" w:sz="0" w:space="0"/>
          <w:left w:val="single" w:color="FAC090" w:themeColor="accent6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FAC090" w:themeColor="accent6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46" w:customStyle="1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47" w:customStyle="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848" w:customStyle="1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849" w:customStyle="1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850" w:customStyle="1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851" w:customStyle="1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852" w:customStyle="1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853" w:customStyle="1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54" w:customStyle="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2A4A71" w:themeColor="accent1" w:themeShade="95" w:sz="4" w:space="0"/>
        <w:left w:val="single" w:color="2A4A71" w:themeColor="accent1" w:themeShade="95" w:sz="4" w:space="0"/>
        <w:bottom w:val="single" w:color="2A4A71" w:themeColor="accent1" w:themeShade="95" w:sz="4" w:space="0"/>
        <w:right w:val="single" w:color="2A4A71" w:themeColor="accent1" w:themeShade="95" w:sz="4" w:space="0"/>
        <w:insideH w:val="single" w:color="2A4A71" w:themeColor="accent1" w:themeShade="95" w:sz="4" w:space="0"/>
        <w:insideV w:val="single" w:color="2A4A71" w:themeColor="accent1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855" w:customStyle="1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732A29" w:themeColor="accent2" w:themeShade="95" w:sz="4" w:space="0"/>
        <w:left w:val="single" w:color="732A29" w:themeColor="accent2" w:themeShade="95" w:sz="4" w:space="0"/>
        <w:bottom w:val="single" w:color="732A29" w:themeColor="accent2" w:themeShade="95" w:sz="4" w:space="0"/>
        <w:right w:val="single" w:color="732A29" w:themeColor="accent2" w:themeShade="95" w:sz="4" w:space="0"/>
        <w:insideH w:val="single" w:color="732A29" w:themeColor="accent2" w:themeShade="95" w:sz="4" w:space="0"/>
        <w:insideV w:val="single" w:color="732A29" w:themeColor="accent2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856" w:customStyle="1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5B722E" w:themeColor="accent3" w:themeShade="95" w:sz="4" w:space="0"/>
        <w:left w:val="single" w:color="5B722E" w:themeColor="accent3" w:themeShade="95" w:sz="4" w:space="0"/>
        <w:bottom w:val="single" w:color="5B722E" w:themeColor="accent3" w:themeShade="95" w:sz="4" w:space="0"/>
        <w:right w:val="single" w:color="5B722E" w:themeColor="accent3" w:themeShade="95" w:sz="4" w:space="0"/>
        <w:insideH w:val="single" w:color="5B722E" w:themeColor="accent3" w:themeShade="95" w:sz="4" w:space="0"/>
        <w:insideV w:val="single" w:color="5B722E" w:themeColor="accent3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857" w:customStyle="1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858" w:customStyle="1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859" w:customStyle="1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860" w:customStyle="1">
    <w:name w:val="Bordered"/>
    <w:uiPriority w:val="99"/>
    <w:tblPr>
      <w:tblStyleRowBandSize w:val="1"/>
      <w:tblStyleColBandSize w:val="1"/>
      <w:tblInd w:w="0" w:type="dxa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861" w:customStyle="1">
    <w:name w:val="Bordered - Accent 1"/>
    <w:uiPriority w:val="99"/>
    <w:tblPr>
      <w:tblStyleRowBandSize w:val="1"/>
      <w:tblStyleColBandSize w:val="1"/>
      <w:tblInd w:w="0" w:type="dxa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themeColor="accent1" w:sz="12" w:space="0"/>
        </w:tcBorders>
      </w:tcPr>
    </w:tblStylePr>
  </w:style>
  <w:style w:type="table" w:styleId="862" w:customStyle="1">
    <w:name w:val="Bordered - Accent 2"/>
    <w:uiPriority w:val="99"/>
    <w:tblPr>
      <w:tblStyleRowBandSize w:val="1"/>
      <w:tblStyleColBandSize w:val="1"/>
      <w:tblInd w:w="0" w:type="dxa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6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695" w:themeColor="accent2" w:themeTint="97" w:sz="12" w:space="0"/>
        </w:tcBorders>
      </w:tcPr>
    </w:tblStylePr>
  </w:style>
  <w:style w:type="table" w:styleId="863" w:customStyle="1">
    <w:name w:val="Bordered - Accent 3"/>
    <w:uiPriority w:val="99"/>
    <w:tblPr>
      <w:tblStyleRowBandSize w:val="1"/>
      <w:tblStyleColBandSize w:val="1"/>
      <w:tblInd w:w="0" w:type="dxa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B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B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B" w:themeColor="accent3" w:themeTint="98" w:sz="12" w:space="0"/>
        </w:tcBorders>
      </w:tcPr>
    </w:tblStylePr>
  </w:style>
  <w:style w:type="table" w:styleId="864" w:customStyle="1">
    <w:name w:val="Bordered - Accent 4"/>
    <w:uiPriority w:val="99"/>
    <w:tblPr>
      <w:tblStyleRowBandSize w:val="1"/>
      <w:tblStyleColBandSize w:val="1"/>
      <w:tblInd w:w="0" w:type="dxa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themeColor="accent4" w:themeTint="9A" w:sz="12" w:space="0"/>
        </w:tcBorders>
      </w:tcPr>
    </w:tblStylePr>
  </w:style>
  <w:style w:type="table" w:styleId="865" w:customStyle="1">
    <w:name w:val="Bordered - Accent 5"/>
    <w:uiPriority w:val="99"/>
    <w:tblPr>
      <w:tblStyleRowBandSize w:val="1"/>
      <w:tblStyleColBandSize w:val="1"/>
      <w:tblInd w:w="0" w:type="dxa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themeColor="accent5" w:themeTint="9A" w:sz="12" w:space="0"/>
        </w:tcBorders>
      </w:tcPr>
    </w:tblStylePr>
  </w:style>
  <w:style w:type="table" w:styleId="866" w:customStyle="1">
    <w:name w:val="Bordered - Accent 6"/>
    <w:uiPriority w:val="99"/>
    <w:tblPr>
      <w:tblStyleRowBandSize w:val="1"/>
      <w:tblStyleColBandSize w:val="1"/>
      <w:tblInd w:w="0" w:type="dxa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themeColor="accent6" w:themeTint="98" w:sz="12" w:space="0"/>
        </w:tcBorders>
      </w:tcPr>
    </w:tblStylePr>
  </w:style>
  <w:style w:type="character" w:styleId="867">
    <w:name w:val="Hyperlink"/>
    <w:uiPriority w:val="99"/>
    <w:semiHidden/>
    <w:unhideWhenUsed/>
    <w:rPr>
      <w:color w:val="0000ff"/>
      <w:u w:val="single"/>
    </w:rPr>
  </w:style>
  <w:style w:type="paragraph" w:styleId="868">
    <w:name w:val="footnote text"/>
    <w:basedOn w:val="691"/>
    <w:link w:val="869"/>
    <w:uiPriority w:val="99"/>
    <w:semiHidden/>
    <w:unhideWhenUsed/>
    <w:pPr>
      <w:spacing w:after="40" w:line="240" w:lineRule="auto"/>
    </w:pPr>
    <w:rPr>
      <w:sz w:val="18"/>
    </w:rPr>
  </w:style>
  <w:style w:type="character" w:styleId="869" w:customStyle="1">
    <w:name w:val="Текст сноски Знак"/>
    <w:link w:val="868"/>
    <w:uiPriority w:val="99"/>
    <w:rPr>
      <w:sz w:val="18"/>
    </w:rPr>
  </w:style>
  <w:style w:type="character" w:styleId="870">
    <w:name w:val="footnote reference"/>
    <w:uiPriority w:val="99"/>
    <w:unhideWhenUsed/>
    <w:rPr>
      <w:vertAlign w:val="superscript"/>
    </w:rPr>
  </w:style>
  <w:style w:type="paragraph" w:styleId="871">
    <w:name w:val="endnote text"/>
    <w:basedOn w:val="691"/>
    <w:link w:val="872"/>
    <w:uiPriority w:val="99"/>
    <w:semiHidden/>
    <w:unhideWhenUsed/>
    <w:pPr>
      <w:spacing w:after="0" w:line="240" w:lineRule="auto"/>
    </w:pPr>
    <w:rPr>
      <w:sz w:val="20"/>
    </w:rPr>
  </w:style>
  <w:style w:type="character" w:styleId="872" w:customStyle="1">
    <w:name w:val="Текст концевой сноски Знак"/>
    <w:link w:val="871"/>
    <w:uiPriority w:val="99"/>
    <w:rPr>
      <w:sz w:val="20"/>
    </w:rPr>
  </w:style>
  <w:style w:type="character" w:styleId="873">
    <w:name w:val="endnote reference"/>
    <w:uiPriority w:val="99"/>
    <w:semiHidden/>
    <w:unhideWhenUsed/>
    <w:rPr>
      <w:vertAlign w:val="superscript"/>
    </w:rPr>
  </w:style>
  <w:style w:type="paragraph" w:styleId="874">
    <w:name w:val="toc 1"/>
    <w:basedOn w:val="691"/>
    <w:next w:val="691"/>
    <w:uiPriority w:val="39"/>
    <w:unhideWhenUsed/>
    <w:pPr>
      <w:spacing w:after="57"/>
    </w:pPr>
  </w:style>
  <w:style w:type="paragraph" w:styleId="875">
    <w:name w:val="toc 2"/>
    <w:basedOn w:val="691"/>
    <w:next w:val="691"/>
    <w:uiPriority w:val="39"/>
    <w:unhideWhenUsed/>
    <w:pPr>
      <w:ind w:left="283"/>
      <w:spacing w:after="57"/>
    </w:pPr>
  </w:style>
  <w:style w:type="paragraph" w:styleId="876">
    <w:name w:val="toc 3"/>
    <w:basedOn w:val="691"/>
    <w:next w:val="691"/>
    <w:uiPriority w:val="39"/>
    <w:unhideWhenUsed/>
    <w:pPr>
      <w:ind w:left="567"/>
      <w:spacing w:after="57"/>
    </w:pPr>
  </w:style>
  <w:style w:type="paragraph" w:styleId="877">
    <w:name w:val="toc 4"/>
    <w:basedOn w:val="691"/>
    <w:next w:val="691"/>
    <w:uiPriority w:val="39"/>
    <w:unhideWhenUsed/>
    <w:pPr>
      <w:ind w:left="850"/>
      <w:spacing w:after="57"/>
    </w:pPr>
  </w:style>
  <w:style w:type="paragraph" w:styleId="878">
    <w:name w:val="toc 5"/>
    <w:basedOn w:val="691"/>
    <w:next w:val="691"/>
    <w:uiPriority w:val="39"/>
    <w:unhideWhenUsed/>
    <w:pPr>
      <w:ind w:left="1134"/>
      <w:spacing w:after="57"/>
    </w:pPr>
  </w:style>
  <w:style w:type="paragraph" w:styleId="879">
    <w:name w:val="toc 6"/>
    <w:basedOn w:val="691"/>
    <w:next w:val="691"/>
    <w:uiPriority w:val="39"/>
    <w:unhideWhenUsed/>
    <w:pPr>
      <w:ind w:left="1417"/>
      <w:spacing w:after="57"/>
    </w:pPr>
  </w:style>
  <w:style w:type="paragraph" w:styleId="880">
    <w:name w:val="toc 7"/>
    <w:basedOn w:val="691"/>
    <w:next w:val="691"/>
    <w:uiPriority w:val="39"/>
    <w:unhideWhenUsed/>
    <w:pPr>
      <w:ind w:left="1701"/>
      <w:spacing w:after="57"/>
    </w:pPr>
  </w:style>
  <w:style w:type="paragraph" w:styleId="881">
    <w:name w:val="toc 8"/>
    <w:basedOn w:val="691"/>
    <w:next w:val="691"/>
    <w:uiPriority w:val="39"/>
    <w:unhideWhenUsed/>
    <w:pPr>
      <w:ind w:left="1984"/>
      <w:spacing w:after="57"/>
    </w:pPr>
  </w:style>
  <w:style w:type="paragraph" w:styleId="882">
    <w:name w:val="toc 9"/>
    <w:basedOn w:val="691"/>
    <w:next w:val="691"/>
    <w:uiPriority w:val="39"/>
    <w:unhideWhenUsed/>
    <w:pPr>
      <w:ind w:left="2268"/>
      <w:spacing w:after="57"/>
    </w:pPr>
  </w:style>
  <w:style w:type="paragraph" w:styleId="883">
    <w:name w:val="TOC Heading"/>
    <w:uiPriority w:val="39"/>
    <w:unhideWhenUsed/>
  </w:style>
  <w:style w:type="paragraph" w:styleId="884">
    <w:name w:val="table of figures"/>
    <w:basedOn w:val="691"/>
    <w:next w:val="691"/>
    <w:uiPriority w:val="99"/>
    <w:unhideWhenUsed/>
    <w:pPr>
      <w:spacing w:after="0"/>
    </w:pPr>
  </w:style>
  <w:style w:type="character" w:styleId="885" w:customStyle="1">
    <w:name w:val="Заголовок 1 Знак"/>
    <w:link w:val="692"/>
    <w:rPr>
      <w:rFonts w:ascii="Times New Roman" w:hAnsi="Times New Roman" w:eastAsia="Times New Roman" w:cs="Times New Roman"/>
      <w:b/>
      <w:sz w:val="28"/>
      <w:szCs w:val="20"/>
    </w:rPr>
  </w:style>
  <w:style w:type="character" w:styleId="886" w:customStyle="1">
    <w:name w:val="Нижний колонтитул Знак"/>
    <w:link w:val="737"/>
    <w:rPr>
      <w:rFonts w:ascii="Times New Roman" w:hAnsi="Times New Roman" w:eastAsia="Times New Roman" w:cs="Times New Roman"/>
      <w:sz w:val="28"/>
      <w:szCs w:val="20"/>
    </w:rPr>
  </w:style>
  <w:style w:type="paragraph" w:styleId="887">
    <w:name w:val="Body Text"/>
    <w:basedOn w:val="691"/>
    <w:link w:val="888"/>
    <w:unhideWhenUsed/>
    <w:pPr>
      <w:jc w:val="center"/>
      <w:spacing w:after="0" w:line="240" w:lineRule="auto"/>
    </w:pPr>
    <w:rPr>
      <w:rFonts w:ascii="Times New Roman" w:hAnsi="Times New Roman"/>
      <w:b/>
      <w:sz w:val="32"/>
      <w:szCs w:val="20"/>
    </w:rPr>
  </w:style>
  <w:style w:type="character" w:styleId="888" w:customStyle="1">
    <w:name w:val="Основной текст Знак"/>
    <w:link w:val="887"/>
    <w:rPr>
      <w:rFonts w:ascii="Times New Roman" w:hAnsi="Times New Roman" w:eastAsia="Times New Roman" w:cs="Times New Roman"/>
      <w:b/>
      <w:sz w:val="32"/>
      <w:szCs w:val="20"/>
    </w:rPr>
  </w:style>
  <w:style w:type="character" w:styleId="889" w:customStyle="1">
    <w:name w:val="Подзаголовок Знак"/>
    <w:link w:val="729"/>
    <w:rPr>
      <w:rFonts w:ascii="Times New Roman" w:hAnsi="Times New Roman" w:eastAsia="Times New Roman" w:cs="Times New Roman"/>
      <w:b/>
      <w:sz w:val="28"/>
      <w:szCs w:val="20"/>
    </w:rPr>
  </w:style>
  <w:style w:type="paragraph" w:styleId="890" w:customStyle="1">
    <w:name w:val="Знак"/>
    <w:basedOn w:val="691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891">
    <w:name w:val="Balloon Text"/>
    <w:basedOn w:val="691"/>
    <w:link w:val="892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892" w:customStyle="1">
    <w:name w:val="Текст выноски Знак"/>
    <w:link w:val="891"/>
    <w:uiPriority w:val="99"/>
    <w:semiHidden/>
    <w:rPr>
      <w:rFonts w:ascii="Tahoma" w:hAnsi="Tahoma" w:cs="Tahoma"/>
      <w:sz w:val="16"/>
      <w:szCs w:val="16"/>
    </w:rPr>
  </w:style>
  <w:style w:type="character" w:styleId="893">
    <w:name w:val="Strong"/>
    <w:uiPriority w:val="22"/>
    <w:qFormat/>
    <w:rPr>
      <w:b/>
      <w:bCs/>
    </w:rPr>
  </w:style>
  <w:style w:type="paragraph" w:styleId="894" w:customStyle="1">
    <w:name w:val="ConsPlusNormal"/>
    <w:rPr>
      <w:rFonts w:ascii="Times New Roman" w:hAnsi="Times New Roman" w:eastAsia="Calibri"/>
      <w:sz w:val="28"/>
      <w:szCs w:val="28"/>
      <w:lang w:eastAsia="ru-RU"/>
    </w:rPr>
  </w:style>
  <w:style w:type="paragraph" w:styleId="895">
    <w:name w:val="Body Text 2"/>
    <w:basedOn w:val="691"/>
    <w:link w:val="896"/>
    <w:uiPriority w:val="99"/>
    <w:semiHidden/>
    <w:unhideWhenUsed/>
    <w:pPr>
      <w:spacing w:after="120" w:line="480" w:lineRule="auto"/>
    </w:pPr>
  </w:style>
  <w:style w:type="character" w:styleId="896" w:customStyle="1">
    <w:name w:val="Основной текст 2 Знак"/>
    <w:link w:val="895"/>
    <w:uiPriority w:val="99"/>
    <w:semiHidden/>
    <w:rPr>
      <w:sz w:val="22"/>
      <w:szCs w:val="22"/>
    </w:rPr>
  </w:style>
  <w:style w:type="character" w:styleId="897" w:customStyle="1">
    <w:name w:val="Основной текст (11)_"/>
    <w:link w:val="898"/>
    <w:rPr>
      <w:spacing w:val="-7"/>
      <w:sz w:val="26"/>
      <w:szCs w:val="26"/>
      <w:shd w:val="clear" w:color="auto" w:fill="ffffff"/>
    </w:rPr>
  </w:style>
  <w:style w:type="paragraph" w:styleId="898" w:customStyle="1">
    <w:name w:val="Основной текст (11)"/>
    <w:basedOn w:val="691"/>
    <w:link w:val="897"/>
    <w:pPr>
      <w:jc w:val="right"/>
      <w:spacing w:after="0" w:line="0" w:lineRule="atLeast"/>
      <w:shd w:val="clear" w:color="auto" w:fill="ffffff"/>
      <w:widowControl w:val="off"/>
    </w:pPr>
    <w:rPr>
      <w:spacing w:val="-7"/>
      <w:sz w:val="26"/>
      <w:szCs w:val="26"/>
    </w:rPr>
  </w:style>
  <w:style w:type="character" w:styleId="899" w:customStyle="1">
    <w:name w:val="Основной текст (12)_"/>
    <w:link w:val="900"/>
    <w:rPr>
      <w:spacing w:val="2"/>
      <w:shd w:val="clear" w:color="auto" w:fill="ffffff"/>
    </w:rPr>
  </w:style>
  <w:style w:type="paragraph" w:styleId="900" w:customStyle="1">
    <w:name w:val="Основной текст (12)"/>
    <w:basedOn w:val="691"/>
    <w:link w:val="899"/>
    <w:pPr>
      <w:jc w:val="center"/>
      <w:spacing w:after="0" w:line="312" w:lineRule="exact"/>
      <w:shd w:val="clear" w:color="auto" w:fill="ffffff"/>
      <w:widowControl w:val="off"/>
    </w:pPr>
    <w:rPr>
      <w:spacing w:val="2"/>
      <w:sz w:val="20"/>
      <w:szCs w:val="20"/>
    </w:rPr>
  </w:style>
  <w:style w:type="paragraph" w:styleId="901">
    <w:name w:val="Body Text Indent 2"/>
    <w:basedOn w:val="691"/>
    <w:link w:val="902"/>
    <w:uiPriority w:val="99"/>
    <w:semiHidden/>
    <w:unhideWhenUsed/>
    <w:pPr>
      <w:ind w:left="283"/>
      <w:spacing w:after="120" w:line="480" w:lineRule="auto"/>
    </w:pPr>
  </w:style>
  <w:style w:type="character" w:styleId="902" w:customStyle="1">
    <w:name w:val="Основной текст с отступом 2 Знак"/>
    <w:link w:val="901"/>
    <w:uiPriority w:val="99"/>
    <w:semiHidden/>
    <w:rPr>
      <w:sz w:val="22"/>
      <w:szCs w:val="22"/>
    </w:rPr>
  </w:style>
  <w:style w:type="character" w:styleId="903" w:customStyle="1">
    <w:name w:val="Верхний колонтитул Знак"/>
    <w:link w:val="735"/>
    <w:uiPriority w:val="99"/>
    <w:rPr>
      <w:sz w:val="22"/>
      <w:szCs w:val="22"/>
    </w:rPr>
  </w:style>
  <w:style w:type="paragraph" w:styleId="904" w:customStyle="1">
    <w:name w:val="ConsPlusNonformat"/>
    <w:uiPriority w:val="99"/>
    <w:rPr>
      <w:rFonts w:ascii="Courier New" w:hAnsi="Courier New" w:cs="Courier New"/>
      <w:lang w:eastAsia="ru-RU"/>
    </w:rPr>
  </w:style>
  <w:style w:type="character" w:styleId="905" w:customStyle="1">
    <w:name w:val="Основной текст (15)_"/>
    <w:link w:val="906"/>
    <w:rPr>
      <w:spacing w:val="3"/>
      <w:shd w:val="clear" w:color="auto" w:fill="ffffff"/>
    </w:rPr>
  </w:style>
  <w:style w:type="paragraph" w:styleId="906" w:customStyle="1">
    <w:name w:val="Основной текст (15)"/>
    <w:basedOn w:val="691"/>
    <w:link w:val="905"/>
    <w:pPr>
      <w:ind w:hanging="2060"/>
      <w:spacing w:before="60" w:after="420" w:line="0" w:lineRule="atLeast"/>
      <w:shd w:val="clear" w:color="auto" w:fill="ffffff"/>
      <w:widowControl w:val="off"/>
    </w:pPr>
    <w:rPr>
      <w:spacing w:val="3"/>
      <w:sz w:val="20"/>
      <w:szCs w:val="20"/>
    </w:rPr>
  </w:style>
  <w:style w:type="character" w:styleId="907" w:customStyle="1">
    <w:name w:val="Заголовок Знак"/>
    <w:link w:val="727"/>
    <w:uiPriority w:val="99"/>
    <w:rPr>
      <w:rFonts w:cs="Calibri"/>
      <w:b/>
      <w:bCs/>
      <w:sz w:val="28"/>
      <w:szCs w:val="28"/>
    </w:rPr>
  </w:style>
  <w:style w:type="character" w:styleId="908" w:customStyle="1">
    <w:name w:val="Основной текст_"/>
    <w:link w:val="909"/>
    <w:rPr>
      <w:spacing w:val="5"/>
      <w:shd w:val="clear" w:color="auto" w:fill="ffffff"/>
    </w:rPr>
  </w:style>
  <w:style w:type="paragraph" w:styleId="909" w:customStyle="1">
    <w:name w:val="Основной текст1"/>
    <w:basedOn w:val="691"/>
    <w:link w:val="908"/>
    <w:pPr>
      <w:jc w:val="center"/>
      <w:spacing w:after="0" w:line="307" w:lineRule="exact"/>
      <w:shd w:val="clear" w:color="auto" w:fill="ffffff"/>
      <w:widowControl w:val="off"/>
    </w:pPr>
    <w:rPr>
      <w:spacing w:val="5"/>
      <w:sz w:val="20"/>
      <w:szCs w:val="20"/>
    </w:rPr>
  </w:style>
  <w:style w:type="paragraph" w:styleId="910" w:customStyle="1">
    <w:name w:val="Основной текст2"/>
    <w:basedOn w:val="691"/>
    <w:pPr>
      <w:jc w:val="both"/>
      <w:spacing w:after="0" w:line="413" w:lineRule="exact"/>
      <w:shd w:val="clear" w:color="auto" w:fill="ffffff"/>
      <w:widowControl w:val="off"/>
    </w:pPr>
    <w:rPr>
      <w:rFonts w:ascii="Times New Roman" w:hAnsi="Times New Roman"/>
      <w:color w:val="000000"/>
      <w:spacing w:val="3"/>
      <w:sz w:val="24"/>
      <w:szCs w:val="24"/>
      <w:lang w:val="ru"/>
    </w:rPr>
  </w:style>
  <w:style w:type="character" w:styleId="911" w:customStyle="1">
    <w:name w:val="Основной текст (9)_"/>
    <w:link w:val="913"/>
    <w:rPr>
      <w:shd w:val="clear" w:color="auto" w:fill="ffffff"/>
    </w:rPr>
  </w:style>
  <w:style w:type="character" w:styleId="912" w:customStyle="1">
    <w:name w:val="Основной текст (9) + 12 pt;Не полужирный;Интервал 0 pt"/>
    <w:rPr>
      <w:rFonts w:ascii="Times New Roman" w:hAnsi="Times New Roman" w:eastAsia="Times New Roman" w:cs="Times New Roman"/>
      <w:b/>
      <w:bCs/>
      <w:color w:val="000000"/>
      <w:spacing w:val="2"/>
      <w:position w:val="0"/>
      <w:sz w:val="24"/>
      <w:szCs w:val="24"/>
      <w:shd w:val="clear" w:color="auto" w:fill="ffffff"/>
      <w:lang w:val="ru"/>
    </w:rPr>
  </w:style>
  <w:style w:type="paragraph" w:styleId="913" w:customStyle="1">
    <w:name w:val="Основной текст (9)"/>
    <w:basedOn w:val="691"/>
    <w:link w:val="911"/>
    <w:pPr>
      <w:spacing w:after="0" w:line="0" w:lineRule="atLeast"/>
      <w:shd w:val="clear" w:color="auto" w:fill="ffffff"/>
      <w:widowControl w:val="off"/>
    </w:pPr>
    <w:rPr>
      <w:sz w:val="20"/>
      <w:szCs w:val="20"/>
    </w:rPr>
  </w:style>
  <w:style w:type="character" w:styleId="914" w:customStyle="1">
    <w:name w:val="Основной текст + Интервал 0 pt"/>
    <w:rPr>
      <w:rFonts w:ascii="Times New Roman" w:hAnsi="Times New Roman" w:eastAsia="Times New Roman" w:cs="Times New Roman"/>
      <w:color w:val="000000"/>
      <w:spacing w:val="4"/>
      <w:position w:val="0"/>
      <w:sz w:val="24"/>
      <w:szCs w:val="24"/>
      <w:u w:val="none"/>
      <w:lang w:val="ru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footer" Target="footer1.xml" /><Relationship Id="rId10" Type="http://schemas.openxmlformats.org/officeDocument/2006/relationships/image" Target="media/image1.wmf"/><Relationship Id="rId11" Type="http://schemas.openxmlformats.org/officeDocument/2006/relationships/hyperlink" Target="https://old.nso.ru/php/sovetprav_files/files/Zacon1%282%29.docx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Р7-Офис/7.4.0.341</Application>
  <Company>ZSNSO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                             </dc:title>
  <dc:creator>1</dc:creator>
  <cp:revision>7</cp:revision>
  <dcterms:created xsi:type="dcterms:W3CDTF">2023-11-21T03:23:00Z</dcterms:created>
  <dcterms:modified xsi:type="dcterms:W3CDTF">2023-11-23T02:46:49Z</dcterms:modified>
  <cp:version>1048576</cp:version>
</cp:coreProperties>
</file>